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outlineLvl w:val="0"/>
        <w:rPr>
          <w:rFonts w:hint="default" w:ascii="方正小标宋简体" w:hAnsi="宋体" w:eastAsia="方正小标宋简体"/>
          <w:color w:val="000000"/>
          <w:sz w:val="30"/>
          <w:szCs w:val="30"/>
          <w:lang w:val="en-US" w:eastAsia="zh-CN"/>
        </w:rPr>
      </w:pPr>
      <w:bookmarkStart w:id="0" w:name="_Toc15306267"/>
      <w:r>
        <w:rPr>
          <w:rFonts w:hint="eastAsia" w:ascii="方正小标宋简体" w:hAnsi="宋体" w:eastAsia="方正小标宋简体"/>
          <w:color w:val="000000"/>
          <w:sz w:val="30"/>
          <w:szCs w:val="30"/>
          <w:lang w:eastAsia="zh-CN"/>
        </w:rPr>
        <w:t>附件</w:t>
      </w:r>
      <w:r>
        <w:rPr>
          <w:rFonts w:hint="eastAsia" w:ascii="方正小标宋简体" w:hAnsi="宋体" w:eastAsia="方正小标宋简体"/>
          <w:color w:val="000000"/>
          <w:sz w:val="30"/>
          <w:szCs w:val="30"/>
          <w:lang w:val="en-US" w:eastAsia="zh-CN"/>
        </w:rPr>
        <w:t>4</w:t>
      </w: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adjustRightInd w:val="0"/>
        <w:snapToGrid w:val="0"/>
        <w:spacing w:line="360" w:lineRule="auto"/>
        <w:jc w:val="center"/>
        <w:outlineLvl w:val="0"/>
        <w:rPr>
          <w:rFonts w:ascii="方正小标宋简体" w:hAnsi="宋体" w:eastAsia="方正小标宋简体"/>
          <w:color w:val="000000"/>
          <w:sz w:val="72"/>
          <w:szCs w:val="72"/>
        </w:rPr>
      </w:pPr>
      <w:bookmarkStart w:id="1" w:name="_Toc15378441"/>
      <w:bookmarkStart w:id="2" w:name="_Toc15396475"/>
      <w:bookmarkStart w:id="3" w:name="_Toc15377193"/>
      <w:bookmarkStart w:id="4" w:name="_Toc15396597"/>
      <w:bookmarkStart w:id="5" w:name="_Toc15377425"/>
      <w:r>
        <w:rPr>
          <w:rFonts w:ascii="黑体" w:hAnsi="黑体" w:eastAsia="黑体"/>
          <w:color w:val="000000"/>
          <w:sz w:val="72"/>
          <w:szCs w:val="72"/>
        </w:rPr>
        <w:t>20</w:t>
      </w:r>
      <w:r>
        <w:rPr>
          <w:rFonts w:hint="eastAsia" w:ascii="黑体" w:hAnsi="黑体" w:eastAsia="黑体"/>
          <w:color w:val="000000"/>
          <w:sz w:val="72"/>
          <w:szCs w:val="72"/>
          <w:lang w:val="en-US" w:eastAsia="zh-CN"/>
        </w:rPr>
        <w:t>20</w:t>
      </w:r>
      <w:r>
        <w:rPr>
          <w:rFonts w:hint="eastAsia" w:ascii="方正小标宋简体" w:hAnsi="宋体" w:eastAsia="方正小标宋简体"/>
          <w:color w:val="000000"/>
          <w:sz w:val="72"/>
          <w:szCs w:val="72"/>
        </w:rPr>
        <w:t>年度</w:t>
      </w:r>
      <w:bookmarkEnd w:id="1"/>
      <w:bookmarkEnd w:id="2"/>
      <w:bookmarkEnd w:id="3"/>
      <w:bookmarkEnd w:id="4"/>
      <w:bookmarkEnd w:id="5"/>
    </w:p>
    <w:p>
      <w:pPr>
        <w:adjustRightInd w:val="0"/>
        <w:snapToGrid w:val="0"/>
        <w:spacing w:line="360" w:lineRule="auto"/>
        <w:jc w:val="center"/>
        <w:outlineLvl w:val="0"/>
        <w:rPr>
          <w:rFonts w:hint="eastAsia" w:ascii="方正小标宋简体" w:hAnsi="宋体" w:eastAsia="方正小标宋简体"/>
          <w:color w:val="000000"/>
          <w:sz w:val="72"/>
          <w:szCs w:val="72"/>
          <w:lang w:val="en-US" w:eastAsia="zh-CN"/>
        </w:rPr>
      </w:pPr>
      <w:bookmarkStart w:id="6" w:name="_Toc15377426"/>
      <w:bookmarkStart w:id="7" w:name="_Toc15396598"/>
      <w:bookmarkStart w:id="8" w:name="_Toc15396476"/>
      <w:bookmarkStart w:id="9" w:name="_Toc15377194"/>
      <w:bookmarkStart w:id="10" w:name="_Toc15378442"/>
      <w:r>
        <w:rPr>
          <w:rFonts w:hint="eastAsia" w:ascii="方正小标宋简体" w:hAnsi="宋体" w:eastAsia="方正小标宋简体"/>
          <w:color w:val="000000"/>
          <w:sz w:val="72"/>
          <w:szCs w:val="72"/>
        </w:rPr>
        <w:t>四川省</w:t>
      </w:r>
      <w:bookmarkEnd w:id="0"/>
      <w:bookmarkStart w:id="11" w:name="_Toc15306268"/>
      <w:r>
        <w:rPr>
          <w:rFonts w:hint="eastAsia" w:ascii="方正小标宋简体" w:hAnsi="宋体" w:eastAsia="方正小标宋简体"/>
          <w:color w:val="000000"/>
          <w:sz w:val="72"/>
          <w:szCs w:val="72"/>
          <w:lang w:val="en-US" w:eastAsia="zh-CN"/>
        </w:rPr>
        <w:t>都江堰管理局</w:t>
      </w:r>
    </w:p>
    <w:p>
      <w:pPr>
        <w:adjustRightInd w:val="0"/>
        <w:snapToGrid w:val="0"/>
        <w:spacing w:line="360" w:lineRule="auto"/>
        <w:jc w:val="center"/>
        <w:outlineLvl w:val="0"/>
        <w:rPr>
          <w:rFonts w:ascii="方正小标宋简体" w:hAnsi="宋体" w:eastAsia="方正小标宋简体"/>
          <w:color w:val="000000"/>
          <w:sz w:val="72"/>
          <w:szCs w:val="72"/>
        </w:rPr>
      </w:pPr>
      <w:r>
        <w:rPr>
          <w:rFonts w:hint="eastAsia" w:ascii="方正小标宋简体" w:hAnsi="宋体" w:eastAsia="方正小标宋简体"/>
          <w:color w:val="000000"/>
          <w:sz w:val="72"/>
          <w:szCs w:val="72"/>
          <w:lang w:val="en-US" w:eastAsia="zh-CN"/>
        </w:rPr>
        <w:t>单位</w:t>
      </w:r>
      <w:r>
        <w:rPr>
          <w:rFonts w:hint="eastAsia" w:ascii="方正小标宋简体" w:hAnsi="宋体" w:eastAsia="方正小标宋简体"/>
          <w:color w:val="000000"/>
          <w:sz w:val="72"/>
          <w:szCs w:val="72"/>
        </w:rPr>
        <w:t>决算</w:t>
      </w:r>
      <w:bookmarkEnd w:id="6"/>
      <w:bookmarkEnd w:id="7"/>
      <w:bookmarkEnd w:id="8"/>
      <w:bookmarkEnd w:id="9"/>
      <w:bookmarkEnd w:id="10"/>
      <w:bookmarkEnd w:id="11"/>
    </w:p>
    <w:p>
      <w:pPr>
        <w:widowControl/>
        <w:jc w:val="center"/>
        <w:rPr>
          <w:rFonts w:ascii="黑体" w:hAnsi="黑体" w:eastAsia="黑体"/>
          <w:color w:val="auto"/>
          <w:sz w:val="48"/>
          <w:szCs w:val="48"/>
        </w:rPr>
      </w:pPr>
      <w:r>
        <w:rPr>
          <w:rFonts w:ascii="方正小标宋简体" w:hAnsi="宋体" w:eastAsia="方正小标宋简体"/>
          <w:color w:val="000000"/>
          <w:sz w:val="36"/>
          <w:szCs w:val="36"/>
        </w:rPr>
        <w:br w:type="page"/>
      </w:r>
      <w:bookmarkStart w:id="12" w:name="_Toc15396599"/>
      <w:bookmarkStart w:id="13" w:name="_Toc15377196"/>
      <w:r>
        <w:rPr>
          <w:rFonts w:hint="eastAsia" w:ascii="黑体" w:hAnsi="黑体" w:eastAsia="黑体"/>
          <w:color w:val="auto"/>
          <w:sz w:val="48"/>
          <w:szCs w:val="48"/>
        </w:rPr>
        <w:t>目录</w:t>
      </w:r>
    </w:p>
    <w:p>
      <w:pPr>
        <w:widowControl/>
        <w:jc w:val="center"/>
        <w:rPr>
          <w:rFonts w:ascii="黑体" w:hAnsi="黑体" w:eastAsia="黑体" w:cstheme="minorBidi"/>
          <w:color w:val="auto"/>
          <w:sz w:val="28"/>
          <w:szCs w:val="28"/>
        </w:rPr>
      </w:pPr>
    </w:p>
    <w:p>
      <w:pPr>
        <w:pStyle w:val="10"/>
        <w:rPr>
          <w:color w:val="auto"/>
        </w:rPr>
      </w:pPr>
      <w:r>
        <w:rPr>
          <w:rFonts w:hint="eastAsia"/>
          <w:color w:val="auto"/>
        </w:rPr>
        <w:t>公开时间：</w:t>
      </w:r>
      <w:r>
        <w:rPr>
          <w:rFonts w:hint="default" w:ascii="Times New Roman" w:hAnsi="Times New Roman" w:cs="Times New Roman"/>
          <w:color w:val="auto"/>
        </w:rPr>
        <w:t>20</w:t>
      </w:r>
      <w:r>
        <w:rPr>
          <w:rFonts w:hint="default" w:ascii="Times New Roman" w:hAnsi="Times New Roman" w:cs="Times New Roman"/>
          <w:color w:val="auto"/>
          <w:lang w:val="en-US" w:eastAsia="zh-CN"/>
        </w:rPr>
        <w:t>21</w:t>
      </w:r>
      <w:r>
        <w:rPr>
          <w:rFonts w:hint="default" w:ascii="Times New Roman" w:hAnsi="Times New Roman" w:cs="Times New Roman"/>
          <w:color w:val="auto"/>
        </w:rPr>
        <w:t>年</w:t>
      </w:r>
      <w:r>
        <w:rPr>
          <w:rFonts w:hint="default" w:ascii="Times New Roman" w:hAnsi="Times New Roman" w:cs="Times New Roman"/>
          <w:color w:val="auto"/>
          <w:lang w:val="en-US" w:eastAsia="zh-CN"/>
        </w:rPr>
        <w:t>9</w:t>
      </w:r>
      <w:r>
        <w:rPr>
          <w:rFonts w:hint="default" w:ascii="Times New Roman" w:hAnsi="Times New Roman" w:cs="Times New Roman"/>
          <w:color w:val="auto"/>
        </w:rPr>
        <w:t>月</w:t>
      </w:r>
      <w:r>
        <w:rPr>
          <w:rFonts w:hint="default" w:ascii="Times New Roman" w:hAnsi="Times New Roman" w:cs="Times New Roman"/>
          <w:color w:val="auto"/>
          <w:lang w:val="en-US" w:eastAsia="zh-CN"/>
        </w:rPr>
        <w:t>10</w:t>
      </w:r>
      <w:r>
        <w:rPr>
          <w:rFonts w:hint="eastAsia"/>
          <w:color w:val="auto"/>
        </w:rPr>
        <w:t>日</w:t>
      </w:r>
    </w:p>
    <w:p>
      <w:pPr>
        <w:pStyle w:val="10"/>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before="0" w:line="440" w:lineRule="exact"/>
        <w:ind w:left="0" w:leftChars="0" w:firstLine="0" w:firstLineChars="0"/>
        <w:jc w:val="left"/>
        <w:textAlignment w:val="auto"/>
        <w:outlineLvl w:val="0"/>
        <w:rPr>
          <w:rFonts w:hint="eastAsia" w:eastAsia="仿宋" w:cstheme="minorBidi"/>
          <w:color w:val="auto"/>
          <w:sz w:val="24"/>
          <w:szCs w:val="24"/>
          <w:lang w:val="en-US" w:eastAsia="zh-CN"/>
        </w:rPr>
      </w:pPr>
      <w:r>
        <w:rPr>
          <w:rFonts w:hint="eastAsia"/>
          <w:color w:val="auto"/>
          <w:sz w:val="24"/>
        </w:rPr>
        <w:t>第一部分</w:t>
      </w:r>
      <w:r>
        <w:rPr>
          <w:color w:val="auto"/>
          <w:sz w:val="24"/>
        </w:rPr>
        <w:t xml:space="preserve"> </w:t>
      </w:r>
      <w:r>
        <w:rPr>
          <w:rFonts w:hint="eastAsia"/>
          <w:color w:val="auto"/>
          <w:sz w:val="24"/>
          <w:lang w:eastAsia="zh-CN"/>
        </w:rPr>
        <w:t>单位</w:t>
      </w:r>
      <w:r>
        <w:rPr>
          <w:rFonts w:hint="eastAsia"/>
          <w:color w:val="auto"/>
          <w:sz w:val="24"/>
        </w:rPr>
        <w:t>概况</w:t>
      </w:r>
      <w:r>
        <w:rPr>
          <w:rFonts w:hint="eastAsia"/>
          <w:color w:val="auto"/>
          <w:sz w:val="24"/>
          <w:lang w:val="en-US" w:eastAsia="zh-CN"/>
        </w:rPr>
        <w:tab/>
      </w:r>
      <w:r>
        <w:rPr>
          <w:rFonts w:hint="eastAsia"/>
          <w:color w:val="auto"/>
          <w:sz w:val="24"/>
          <w:lang w:val="en-US" w:eastAsia="zh-CN"/>
        </w:rPr>
        <w:t>4</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一、职能</w:t>
      </w:r>
      <w:r>
        <w:rPr>
          <w:rFonts w:hint="eastAsia" w:ascii="仿宋" w:hAnsi="仿宋" w:eastAsia="仿宋" w:cs="Times New Roman"/>
          <w:color w:val="auto"/>
          <w:kern w:val="2"/>
          <w:sz w:val="24"/>
          <w:szCs w:val="28"/>
          <w:lang w:val="en-US" w:eastAsia="zh-CN" w:bidi="ar-SA"/>
        </w:rPr>
        <w:t>简介</w:t>
      </w:r>
      <w:r>
        <w:rPr>
          <w:rFonts w:hint="eastAsia"/>
          <w:color w:val="auto"/>
          <w:sz w:val="24"/>
          <w:lang w:val="en-US" w:eastAsia="zh-CN"/>
        </w:rPr>
        <w:tab/>
      </w:r>
      <w:r>
        <w:rPr>
          <w:rFonts w:hint="eastAsia"/>
          <w:color w:val="auto"/>
          <w:sz w:val="24"/>
          <w:lang w:val="en-US" w:eastAsia="zh-CN"/>
        </w:rPr>
        <w:t xml:space="preserve">4                                                   </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eastAsia="zh-CN"/>
        </w:rPr>
        <w:t>二、</w:t>
      </w:r>
      <w:r>
        <w:rPr>
          <w:rFonts w:hint="default" w:ascii="Times New Roman" w:hAnsi="Times New Roman" w:cs="Times New Roman" w:eastAsiaTheme="minorEastAsia"/>
          <w:color w:val="auto"/>
          <w:sz w:val="24"/>
          <w:lang w:val="en-US" w:eastAsia="zh-CN"/>
        </w:rPr>
        <w:t>2020</w:t>
      </w:r>
      <w:r>
        <w:rPr>
          <w:rFonts w:hint="eastAsia" w:asciiTheme="minorEastAsia" w:hAnsiTheme="minorEastAsia" w:eastAsiaTheme="minorEastAsia" w:cstheme="minorEastAsia"/>
          <w:color w:val="auto"/>
          <w:sz w:val="24"/>
          <w:lang w:val="en-US" w:eastAsia="zh-CN"/>
        </w:rPr>
        <w:t>年重点</w:t>
      </w:r>
      <w:r>
        <w:rPr>
          <w:rFonts w:hint="eastAsia" w:asciiTheme="minorEastAsia" w:hAnsiTheme="minorEastAsia" w:eastAsiaTheme="minorEastAsia" w:cstheme="minorEastAsia"/>
          <w:color w:val="auto"/>
          <w:sz w:val="24"/>
        </w:rPr>
        <w:t>工作</w:t>
      </w:r>
      <w:r>
        <w:rPr>
          <w:rFonts w:hint="eastAsia" w:asciiTheme="minorEastAsia" w:hAnsiTheme="minorEastAsia" w:eastAsiaTheme="minorEastAsia" w:cstheme="minorEastAsia"/>
          <w:color w:val="auto"/>
          <w:sz w:val="24"/>
          <w:lang w:eastAsia="zh-CN"/>
        </w:rPr>
        <w:t>完成情况</w:t>
      </w:r>
      <w:r>
        <w:rPr>
          <w:rFonts w:hint="eastAsia" w:asciiTheme="minorEastAsia" w:hAnsiTheme="minorEastAsia" w:eastAsiaTheme="minorEastAsia" w:cstheme="minorEastAsia"/>
          <w:color w:val="auto"/>
          <w:sz w:val="24"/>
          <w:lang w:val="en-US" w:eastAsia="zh-CN"/>
        </w:rPr>
        <w:tab/>
      </w:r>
      <w:r>
        <w:rPr>
          <w:rFonts w:hint="eastAsia" w:asciiTheme="minorEastAsia" w:hAnsiTheme="minorEastAsia" w:eastAsiaTheme="minorEastAsia" w:cstheme="minorEastAsia"/>
          <w:color w:val="auto"/>
          <w:sz w:val="24"/>
          <w:lang w:val="en-US" w:eastAsia="zh-CN"/>
        </w:rPr>
        <w:t>4</w:t>
      </w:r>
    </w:p>
    <w:p>
      <w:pPr>
        <w:pStyle w:val="10"/>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before="0" w:line="440" w:lineRule="exact"/>
        <w:ind w:left="0" w:leftChars="0" w:firstLine="0" w:firstLineChars="0"/>
        <w:jc w:val="left"/>
        <w:textAlignment w:val="auto"/>
        <w:outlineLvl w:val="0"/>
        <w:rPr>
          <w:rFonts w:hint="eastAsia" w:eastAsia="仿宋"/>
          <w:color w:val="auto"/>
          <w:sz w:val="24"/>
          <w:szCs w:val="24"/>
          <w:lang w:val="en-US" w:eastAsia="zh-CN"/>
        </w:rPr>
      </w:pPr>
      <w:r>
        <w:rPr>
          <w:rFonts w:hint="eastAsia"/>
          <w:color w:val="auto"/>
          <w:sz w:val="24"/>
        </w:rPr>
        <w:t>第二部分</w:t>
      </w:r>
      <w:r>
        <w:rPr>
          <w:rFonts w:hint="eastAsia"/>
          <w:color w:val="auto"/>
          <w:sz w:val="24"/>
          <w:lang w:val="en-US" w:eastAsia="zh-CN"/>
        </w:rPr>
        <w:t xml:space="preserve"> 2020年度单位</w:t>
      </w:r>
      <w:r>
        <w:rPr>
          <w:rFonts w:hint="eastAsia"/>
          <w:color w:val="auto"/>
          <w:sz w:val="24"/>
        </w:rPr>
        <w:t>决算情况说明</w:t>
      </w:r>
      <w:r>
        <w:rPr>
          <w:rFonts w:hint="eastAsia"/>
          <w:color w:val="auto"/>
          <w:sz w:val="24"/>
          <w:lang w:val="en-US" w:eastAsia="zh-CN"/>
        </w:rPr>
        <w:tab/>
      </w:r>
      <w:r>
        <w:rPr>
          <w:rFonts w:hint="eastAsia"/>
          <w:color w:val="auto"/>
          <w:sz w:val="24"/>
          <w:lang w:val="en-US" w:eastAsia="zh-CN"/>
        </w:rPr>
        <w:t>9</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eastAsia" w:ascii="仿宋" w:hAnsi="仿宋" w:eastAsia="宋体" w:cstheme="minorBidi"/>
          <w:color w:val="auto"/>
          <w:sz w:val="24"/>
          <w:lang w:val="en-US" w:eastAsia="zh-CN"/>
        </w:rPr>
      </w:pPr>
      <w:r>
        <w:rPr>
          <w:rFonts w:hint="eastAsia"/>
          <w:color w:val="auto"/>
          <w:sz w:val="24"/>
        </w:rPr>
        <w:t>一、收入支出决算总体情况说明</w:t>
      </w:r>
      <w:r>
        <w:rPr>
          <w:rFonts w:hint="eastAsia"/>
          <w:color w:val="auto"/>
          <w:sz w:val="24"/>
          <w:lang w:val="en-US" w:eastAsia="zh-CN"/>
        </w:rPr>
        <w:tab/>
      </w:r>
      <w:r>
        <w:rPr>
          <w:rFonts w:hint="eastAsia"/>
          <w:color w:val="auto"/>
          <w:sz w:val="24"/>
          <w:lang w:val="en-US" w:eastAsia="zh-CN"/>
        </w:rPr>
        <w:t>9</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ascii="仿宋" w:hAnsi="仿宋" w:eastAsia="宋体" w:cstheme="minorBidi"/>
          <w:color w:val="auto"/>
          <w:sz w:val="24"/>
          <w:lang w:val="en-US" w:eastAsia="zh-CN"/>
        </w:rPr>
      </w:pPr>
      <w:r>
        <w:rPr>
          <w:rFonts w:hint="eastAsia"/>
          <w:color w:val="auto"/>
          <w:sz w:val="24"/>
        </w:rPr>
        <w:t>二、收入决算情况说明</w:t>
      </w:r>
      <w:r>
        <w:rPr>
          <w:rFonts w:hint="eastAsia"/>
          <w:color w:val="auto"/>
          <w:sz w:val="24"/>
          <w:lang w:val="en-US" w:eastAsia="zh-CN"/>
        </w:rPr>
        <w:tab/>
      </w:r>
      <w:r>
        <w:rPr>
          <w:rFonts w:hint="eastAsia"/>
          <w:color w:val="auto"/>
          <w:sz w:val="24"/>
          <w:lang w:val="en-US" w:eastAsia="zh-CN"/>
        </w:rPr>
        <w:t>10</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ascii="仿宋" w:hAnsi="仿宋" w:eastAsia="宋体" w:cstheme="minorBidi"/>
          <w:color w:val="auto"/>
          <w:sz w:val="24"/>
          <w:lang w:val="en-US" w:eastAsia="zh-CN"/>
        </w:rPr>
      </w:pPr>
      <w:r>
        <w:rPr>
          <w:rFonts w:hint="eastAsia"/>
          <w:color w:val="auto"/>
          <w:sz w:val="24"/>
        </w:rPr>
        <w:t>三、支出决算情况说明</w:t>
      </w:r>
      <w:r>
        <w:rPr>
          <w:rFonts w:hint="eastAsia"/>
          <w:color w:val="auto"/>
          <w:sz w:val="24"/>
          <w:lang w:val="en-US" w:eastAsia="zh-CN"/>
        </w:rPr>
        <w:tab/>
      </w:r>
      <w:r>
        <w:rPr>
          <w:rFonts w:hint="eastAsia"/>
          <w:color w:val="auto"/>
          <w:sz w:val="24"/>
          <w:lang w:val="en-US" w:eastAsia="zh-CN"/>
        </w:rPr>
        <w:t>10</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ascii="仿宋" w:hAnsi="仿宋" w:eastAsia="宋体" w:cstheme="minorBidi"/>
          <w:color w:val="auto"/>
          <w:sz w:val="24"/>
          <w:lang w:val="en-US" w:eastAsia="zh-CN"/>
        </w:rPr>
      </w:pPr>
      <w:r>
        <w:rPr>
          <w:rFonts w:hint="eastAsia"/>
          <w:color w:val="auto"/>
          <w:sz w:val="24"/>
        </w:rPr>
        <w:t>四、财政拨款收入支出决算总体情况说明</w:t>
      </w:r>
      <w:r>
        <w:rPr>
          <w:rFonts w:hint="eastAsia"/>
          <w:color w:val="auto"/>
          <w:sz w:val="24"/>
          <w:lang w:val="en-US" w:eastAsia="zh-CN"/>
        </w:rPr>
        <w:tab/>
      </w:r>
      <w:r>
        <w:rPr>
          <w:rFonts w:hint="eastAsia"/>
          <w:color w:val="auto"/>
          <w:sz w:val="24"/>
          <w:lang w:val="en-US" w:eastAsia="zh-CN"/>
        </w:rPr>
        <w:t>11</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ascii="仿宋" w:hAnsi="仿宋" w:eastAsia="宋体" w:cstheme="minorBidi"/>
          <w:color w:val="auto"/>
          <w:sz w:val="24"/>
          <w:lang w:val="en-US" w:eastAsia="zh-CN"/>
        </w:rPr>
      </w:pPr>
      <w:r>
        <w:rPr>
          <w:rFonts w:hint="eastAsia"/>
          <w:color w:val="auto"/>
          <w:sz w:val="24"/>
        </w:rPr>
        <w:t>五、一般公共预算财政拨款支出决算情况说明</w:t>
      </w:r>
      <w:r>
        <w:rPr>
          <w:rFonts w:hint="eastAsia"/>
          <w:color w:val="auto"/>
          <w:sz w:val="24"/>
          <w:lang w:val="en-US" w:eastAsia="zh-CN"/>
        </w:rPr>
        <w:tab/>
      </w:r>
      <w:r>
        <w:rPr>
          <w:rFonts w:hint="eastAsia"/>
          <w:color w:val="auto"/>
          <w:sz w:val="24"/>
          <w:lang w:val="en-US" w:eastAsia="zh-CN"/>
        </w:rPr>
        <w:t>12</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ascii="仿宋" w:hAnsi="仿宋" w:eastAsia="宋体" w:cstheme="minorBidi"/>
          <w:color w:val="auto"/>
          <w:sz w:val="24"/>
          <w:lang w:val="en-US" w:eastAsia="zh-CN"/>
        </w:rPr>
      </w:pPr>
      <w:r>
        <w:rPr>
          <w:rFonts w:hint="eastAsia"/>
          <w:color w:val="auto"/>
          <w:sz w:val="24"/>
        </w:rPr>
        <w:t>六、一般公共预算财政拨款基本支出决算情况说明</w:t>
      </w:r>
      <w:r>
        <w:rPr>
          <w:rFonts w:hint="eastAsia"/>
          <w:color w:val="auto"/>
          <w:sz w:val="24"/>
          <w:lang w:val="en-US" w:eastAsia="zh-CN"/>
        </w:rPr>
        <w:tab/>
      </w:r>
      <w:r>
        <w:rPr>
          <w:rFonts w:hint="eastAsia"/>
          <w:color w:val="auto"/>
          <w:sz w:val="24"/>
          <w:lang w:val="en-US" w:eastAsia="zh-CN"/>
        </w:rPr>
        <w:t>14</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ascii="仿宋" w:hAnsi="仿宋" w:eastAsia="宋体" w:cstheme="minorBidi"/>
          <w:color w:val="auto"/>
          <w:sz w:val="24"/>
          <w:lang w:val="en-US" w:eastAsia="zh-CN"/>
        </w:rPr>
      </w:pPr>
      <w:r>
        <w:rPr>
          <w:rFonts w:hint="eastAsia"/>
          <w:color w:val="auto"/>
          <w:sz w:val="24"/>
        </w:rPr>
        <w:t>七、</w:t>
      </w:r>
      <w:r>
        <w:rPr>
          <w:color w:val="auto"/>
          <w:sz w:val="24"/>
        </w:rPr>
        <w:t>“</w:t>
      </w:r>
      <w:r>
        <w:rPr>
          <w:rFonts w:hint="eastAsia"/>
          <w:color w:val="auto"/>
          <w:sz w:val="24"/>
        </w:rPr>
        <w:t>三公”经费财政拨款支出决算情况说明</w:t>
      </w:r>
      <w:r>
        <w:rPr>
          <w:rFonts w:hint="eastAsia"/>
          <w:color w:val="auto"/>
          <w:sz w:val="24"/>
          <w:lang w:val="en-US" w:eastAsia="zh-CN"/>
        </w:rPr>
        <w:tab/>
      </w:r>
      <w:r>
        <w:rPr>
          <w:rFonts w:hint="eastAsia"/>
          <w:color w:val="auto"/>
          <w:sz w:val="24"/>
          <w:lang w:val="en-US" w:eastAsia="zh-CN"/>
        </w:rPr>
        <w:t>14</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ascii="仿宋" w:hAnsi="仿宋" w:eastAsia="宋体" w:cstheme="minorBidi"/>
          <w:color w:val="auto"/>
          <w:sz w:val="24"/>
          <w:lang w:val="en-US" w:eastAsia="zh-CN"/>
        </w:rPr>
      </w:pPr>
      <w:r>
        <w:rPr>
          <w:rFonts w:hint="eastAsia"/>
          <w:color w:val="auto"/>
          <w:sz w:val="24"/>
        </w:rPr>
        <w:t>八、政府性基金预算支出决算情况说明</w:t>
      </w:r>
      <w:r>
        <w:rPr>
          <w:rFonts w:hint="eastAsia"/>
          <w:color w:val="auto"/>
          <w:sz w:val="24"/>
          <w:lang w:val="en-US" w:eastAsia="zh-CN"/>
        </w:rPr>
        <w:tab/>
      </w:r>
      <w:r>
        <w:rPr>
          <w:rFonts w:hint="eastAsia"/>
          <w:color w:val="auto"/>
          <w:sz w:val="24"/>
          <w:lang w:val="en-US" w:eastAsia="zh-CN"/>
        </w:rPr>
        <w:t>14</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九、国有资本经营预算支出决算情况说明</w:t>
      </w:r>
      <w:r>
        <w:rPr>
          <w:rFonts w:hint="eastAsia"/>
          <w:color w:val="auto"/>
          <w:sz w:val="24"/>
          <w:lang w:val="en-US" w:eastAsia="zh-CN"/>
        </w:rPr>
        <w:tab/>
      </w:r>
      <w:r>
        <w:rPr>
          <w:rFonts w:hint="eastAsia"/>
          <w:color w:val="auto"/>
          <w:sz w:val="24"/>
          <w:lang w:val="en-US" w:eastAsia="zh-CN"/>
        </w:rPr>
        <w:t>14</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十、其他重要事项的情况说明</w:t>
      </w:r>
      <w:r>
        <w:rPr>
          <w:rFonts w:hint="eastAsia"/>
          <w:color w:val="auto"/>
          <w:sz w:val="24"/>
          <w:lang w:val="en-US" w:eastAsia="zh-CN"/>
        </w:rPr>
        <w:tab/>
      </w:r>
      <w:r>
        <w:rPr>
          <w:rFonts w:hint="eastAsia"/>
          <w:color w:val="auto"/>
          <w:sz w:val="24"/>
          <w:lang w:val="en-US" w:eastAsia="zh-CN"/>
        </w:rPr>
        <w:t>14</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0" w:firstLineChars="0"/>
        <w:jc w:val="left"/>
        <w:textAlignment w:val="auto"/>
        <w:outlineLvl w:val="1"/>
        <w:rPr>
          <w:rFonts w:hint="default" w:eastAsia="仿宋" w:cstheme="minorBidi"/>
          <w:color w:val="auto"/>
          <w:sz w:val="24"/>
          <w:szCs w:val="24"/>
          <w:lang w:val="en-US" w:eastAsia="zh-CN"/>
        </w:rPr>
      </w:pPr>
      <w:r>
        <w:rPr>
          <w:rFonts w:hint="eastAsia"/>
          <w:color w:val="auto"/>
          <w:sz w:val="24"/>
        </w:rPr>
        <w:t>第三部分</w:t>
      </w:r>
      <w:r>
        <w:rPr>
          <w:color w:val="auto"/>
          <w:sz w:val="24"/>
        </w:rPr>
        <w:t xml:space="preserve"> </w:t>
      </w:r>
      <w:r>
        <w:rPr>
          <w:rFonts w:hint="eastAsia"/>
          <w:color w:val="auto"/>
          <w:sz w:val="24"/>
        </w:rPr>
        <w:t>名词解释</w:t>
      </w:r>
      <w:r>
        <w:rPr>
          <w:rFonts w:hint="eastAsia"/>
          <w:color w:val="auto"/>
          <w:sz w:val="24"/>
          <w:lang w:val="en-US" w:eastAsia="zh-CN"/>
        </w:rPr>
        <w:tab/>
      </w:r>
      <w:r>
        <w:rPr>
          <w:rFonts w:hint="eastAsia"/>
          <w:color w:val="auto"/>
          <w:sz w:val="24"/>
          <w:lang w:val="en-US" w:eastAsia="zh-CN"/>
        </w:rPr>
        <w:t>32</w:t>
      </w:r>
    </w:p>
    <w:p>
      <w:pPr>
        <w:pStyle w:val="10"/>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before="0" w:line="440" w:lineRule="exact"/>
        <w:ind w:left="0" w:leftChars="0" w:firstLine="0" w:firstLineChars="0"/>
        <w:jc w:val="left"/>
        <w:textAlignment w:val="auto"/>
        <w:outlineLvl w:val="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第四部分 附件</w:t>
      </w:r>
      <w:r>
        <w:rPr>
          <w:rFonts w:hint="eastAsia"/>
          <w:color w:val="auto"/>
          <w:sz w:val="24"/>
          <w:lang w:val="en-US" w:eastAsia="zh-CN"/>
        </w:rPr>
        <w:tab/>
      </w:r>
      <w:r>
        <w:rPr>
          <w:rFonts w:hint="eastAsia" w:ascii="Times New Roman" w:hAnsi="Times New Roman" w:eastAsia="宋体" w:cs="Times New Roman"/>
          <w:color w:val="auto"/>
          <w:kern w:val="2"/>
          <w:sz w:val="24"/>
          <w:szCs w:val="24"/>
          <w:lang w:val="en-US" w:eastAsia="zh-CN" w:bidi="ar-SA"/>
        </w:rPr>
        <w:t>35</w:t>
      </w:r>
    </w:p>
    <w:p>
      <w:pPr>
        <w:pStyle w:val="10"/>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before="0" w:line="440" w:lineRule="exact"/>
        <w:ind w:left="0" w:leftChars="0" w:firstLine="0" w:firstLineChars="0"/>
        <w:jc w:val="left"/>
        <w:textAlignment w:val="auto"/>
        <w:outlineLvl w:val="0"/>
        <w:rPr>
          <w:rFonts w:hint="default" w:eastAsia="仿宋" w:cstheme="minorBidi"/>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第五部分 附表</w:t>
      </w:r>
      <w:r>
        <w:rPr>
          <w:rFonts w:hint="eastAsia"/>
          <w:color w:val="auto"/>
          <w:sz w:val="24"/>
          <w:lang w:val="en-US" w:eastAsia="zh-CN"/>
        </w:rPr>
        <w:tab/>
      </w:r>
      <w:r>
        <w:rPr>
          <w:rFonts w:hint="eastAsia" w:ascii="Times New Roman" w:hAnsi="Times New Roman" w:cs="Times New Roman"/>
          <w:color w:val="auto"/>
          <w:sz w:val="24"/>
          <w:lang w:val="en-US" w:eastAsia="zh-CN"/>
        </w:rPr>
        <w:t>57</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一、收入支出决算总表</w:t>
      </w:r>
      <w:r>
        <w:rPr>
          <w:rFonts w:hint="eastAsia"/>
          <w:color w:val="auto"/>
          <w:sz w:val="24"/>
          <w:lang w:val="en-US" w:eastAsia="zh-CN"/>
        </w:rPr>
        <w:tab/>
      </w:r>
      <w:r>
        <w:rPr>
          <w:rFonts w:hint="eastAsia"/>
          <w:color w:val="auto"/>
          <w:sz w:val="24"/>
          <w:lang w:val="en-US" w:eastAsia="zh-CN"/>
        </w:rPr>
        <w:t>58</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二、收入决算表</w:t>
      </w:r>
      <w:r>
        <w:rPr>
          <w:rFonts w:hint="eastAsia"/>
          <w:color w:val="auto"/>
          <w:sz w:val="24"/>
          <w:lang w:val="en-US" w:eastAsia="zh-CN"/>
        </w:rPr>
        <w:tab/>
      </w:r>
      <w:r>
        <w:rPr>
          <w:rFonts w:hint="eastAsia"/>
          <w:color w:val="auto"/>
          <w:sz w:val="24"/>
          <w:lang w:val="en-US" w:eastAsia="zh-CN"/>
        </w:rPr>
        <w:t>59</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三、支出决算表</w:t>
      </w:r>
      <w:r>
        <w:rPr>
          <w:rFonts w:hint="eastAsia"/>
          <w:color w:val="auto"/>
          <w:sz w:val="24"/>
          <w:lang w:val="en-US" w:eastAsia="zh-CN"/>
        </w:rPr>
        <w:tab/>
      </w:r>
      <w:r>
        <w:rPr>
          <w:rFonts w:hint="eastAsia"/>
          <w:color w:val="auto"/>
          <w:sz w:val="24"/>
          <w:lang w:val="en-US" w:eastAsia="zh-CN"/>
        </w:rPr>
        <w:t>60</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四、财政拨款收入支出决算总表</w:t>
      </w:r>
      <w:r>
        <w:rPr>
          <w:rFonts w:hint="eastAsia"/>
          <w:color w:val="auto"/>
          <w:sz w:val="24"/>
          <w:lang w:val="en-US" w:eastAsia="zh-CN"/>
        </w:rPr>
        <w:tab/>
      </w:r>
      <w:r>
        <w:rPr>
          <w:rFonts w:hint="eastAsia"/>
          <w:color w:val="auto"/>
          <w:sz w:val="24"/>
          <w:lang w:val="en-US" w:eastAsia="zh-CN"/>
        </w:rPr>
        <w:t>61</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五、财政拨款支出决算明细表</w:t>
      </w:r>
      <w:r>
        <w:rPr>
          <w:rFonts w:hint="eastAsia"/>
          <w:color w:val="auto"/>
          <w:sz w:val="24"/>
          <w:lang w:val="en-US" w:eastAsia="zh-CN"/>
        </w:rPr>
        <w:tab/>
      </w:r>
      <w:r>
        <w:rPr>
          <w:rFonts w:hint="eastAsia"/>
          <w:color w:val="auto"/>
          <w:sz w:val="24"/>
          <w:lang w:val="en-US" w:eastAsia="zh-CN"/>
        </w:rPr>
        <w:t>62</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六、一般公共预算财政拨款支出决算表</w:t>
      </w:r>
      <w:r>
        <w:rPr>
          <w:rFonts w:hint="eastAsia"/>
          <w:color w:val="auto"/>
          <w:sz w:val="24"/>
          <w:lang w:val="en-US" w:eastAsia="zh-CN"/>
        </w:rPr>
        <w:tab/>
      </w:r>
      <w:r>
        <w:rPr>
          <w:rFonts w:hint="eastAsia"/>
          <w:color w:val="auto"/>
          <w:sz w:val="24"/>
          <w:lang w:val="en-US" w:eastAsia="zh-CN"/>
        </w:rPr>
        <w:t>63</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七、一般公共预算财政拨款支出决算明细表</w:t>
      </w:r>
      <w:r>
        <w:rPr>
          <w:rFonts w:hint="eastAsia"/>
          <w:color w:val="auto"/>
          <w:sz w:val="24"/>
          <w:lang w:val="en-US" w:eastAsia="zh-CN"/>
        </w:rPr>
        <w:tab/>
      </w:r>
      <w:r>
        <w:rPr>
          <w:rFonts w:hint="eastAsia"/>
          <w:color w:val="auto"/>
          <w:sz w:val="24"/>
          <w:lang w:val="en-US" w:eastAsia="zh-CN"/>
        </w:rPr>
        <w:t>64</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八、一般公共预算财政拨款基本支出决算表</w:t>
      </w:r>
      <w:r>
        <w:rPr>
          <w:rFonts w:hint="eastAsia"/>
          <w:color w:val="auto"/>
          <w:sz w:val="24"/>
          <w:lang w:val="en-US" w:eastAsia="zh-CN"/>
        </w:rPr>
        <w:tab/>
      </w:r>
      <w:r>
        <w:rPr>
          <w:rFonts w:hint="eastAsia"/>
          <w:color w:val="auto"/>
          <w:sz w:val="24"/>
          <w:lang w:val="en-US" w:eastAsia="zh-CN"/>
        </w:rPr>
        <w:t>77</w:t>
      </w:r>
    </w:p>
    <w:p>
      <w:pPr>
        <w:pStyle w:val="12"/>
        <w:keepNext w:val="0"/>
        <w:keepLines w:val="0"/>
        <w:pageBreakBefore w:val="0"/>
        <w:widowControl w:val="0"/>
        <w:tabs>
          <w:tab w:val="left" w:leader="dot" w:pos="7980"/>
          <w:tab w:val="left" w:leader="dot" w:pos="8296"/>
        </w:tabs>
        <w:kinsoku/>
        <w:wordWrap/>
        <w:overflowPunct/>
        <w:topLinePunct w:val="0"/>
        <w:autoSpaceDE/>
        <w:autoSpaceDN/>
        <w:bidi w:val="0"/>
        <w:adjustRightInd w:val="0"/>
        <w:snapToGrid w:val="0"/>
        <w:spacing w:line="440" w:lineRule="exact"/>
        <w:ind w:left="0" w:leftChars="0" w:firstLine="480" w:firstLineChars="200"/>
        <w:jc w:val="left"/>
        <w:textAlignment w:val="auto"/>
        <w:outlineLvl w:val="1"/>
        <w:rPr>
          <w:rFonts w:hint="default" w:eastAsia="宋体"/>
          <w:color w:val="auto"/>
          <w:sz w:val="24"/>
          <w:lang w:val="en-US" w:eastAsia="zh-CN"/>
        </w:rPr>
      </w:pPr>
      <w:r>
        <w:rPr>
          <w:rFonts w:hint="eastAsia"/>
          <w:color w:val="auto"/>
          <w:sz w:val="24"/>
        </w:rPr>
        <w:t>九、一般公共预算财政拨款项目支出决算表</w:t>
      </w:r>
      <w:r>
        <w:rPr>
          <w:rFonts w:hint="eastAsia"/>
          <w:color w:val="auto"/>
          <w:sz w:val="24"/>
          <w:lang w:val="en-US" w:eastAsia="zh-CN"/>
        </w:rPr>
        <w:tab/>
      </w:r>
      <w:r>
        <w:rPr>
          <w:rFonts w:hint="eastAsia"/>
          <w:color w:val="auto"/>
          <w:sz w:val="24"/>
          <w:lang w:val="en-US" w:eastAsia="zh-CN"/>
        </w:rPr>
        <w:t>78</w:t>
      </w:r>
    </w:p>
    <w:p>
      <w:pPr>
        <w:pStyle w:val="12"/>
        <w:tabs>
          <w:tab w:val="left" w:leader="dot" w:pos="7980"/>
          <w:tab w:val="left" w:leader="dot" w:pos="8296"/>
        </w:tabs>
        <w:adjustRightInd w:val="0"/>
        <w:snapToGrid w:val="0"/>
        <w:spacing w:line="440" w:lineRule="exact"/>
        <w:ind w:left="0" w:leftChars="0" w:firstLine="480" w:firstLineChars="200"/>
        <w:jc w:val="left"/>
        <w:rPr>
          <w:rFonts w:hint="default" w:eastAsia="宋体"/>
          <w:color w:val="auto"/>
          <w:sz w:val="24"/>
          <w:lang w:val="en-US" w:eastAsia="zh-CN"/>
        </w:rPr>
      </w:pPr>
      <w:r>
        <w:rPr>
          <w:rFonts w:hint="eastAsia"/>
          <w:color w:val="auto"/>
          <w:sz w:val="24"/>
        </w:rPr>
        <w:t>十、一般公共预算财政拨款“三公”经费支出决算表</w:t>
      </w:r>
      <w:r>
        <w:rPr>
          <w:rFonts w:hint="eastAsia"/>
          <w:color w:val="auto"/>
          <w:sz w:val="24"/>
          <w:lang w:val="en-US" w:eastAsia="zh-CN"/>
        </w:rPr>
        <w:tab/>
      </w:r>
      <w:r>
        <w:rPr>
          <w:rFonts w:hint="eastAsia"/>
          <w:color w:val="auto"/>
          <w:sz w:val="24"/>
          <w:lang w:val="en-US" w:eastAsia="zh-CN"/>
        </w:rPr>
        <w:t>79</w:t>
      </w:r>
    </w:p>
    <w:p>
      <w:pPr>
        <w:pStyle w:val="12"/>
        <w:tabs>
          <w:tab w:val="left" w:leader="dot" w:pos="7980"/>
          <w:tab w:val="left" w:leader="dot" w:pos="8296"/>
        </w:tabs>
        <w:adjustRightInd w:val="0"/>
        <w:snapToGrid w:val="0"/>
        <w:spacing w:line="440" w:lineRule="exact"/>
        <w:ind w:left="0" w:leftChars="0" w:firstLine="480" w:firstLineChars="200"/>
        <w:jc w:val="left"/>
        <w:rPr>
          <w:rFonts w:hint="default" w:eastAsia="宋体"/>
          <w:color w:val="auto"/>
          <w:sz w:val="24"/>
          <w:lang w:val="en-US" w:eastAsia="zh-CN"/>
        </w:rPr>
      </w:pPr>
      <w:r>
        <w:rPr>
          <w:rFonts w:hint="eastAsia"/>
          <w:color w:val="auto"/>
          <w:sz w:val="24"/>
        </w:rPr>
        <w:t>十一、政府性基金预算财政拨款收入支出决算表</w:t>
      </w:r>
      <w:r>
        <w:rPr>
          <w:rFonts w:hint="eastAsia"/>
          <w:color w:val="auto"/>
          <w:sz w:val="24"/>
          <w:lang w:val="en-US" w:eastAsia="zh-CN"/>
        </w:rPr>
        <w:tab/>
      </w:r>
      <w:r>
        <w:rPr>
          <w:rFonts w:hint="eastAsia"/>
          <w:color w:val="auto"/>
          <w:sz w:val="24"/>
          <w:lang w:val="en-US" w:eastAsia="zh-CN"/>
        </w:rPr>
        <w:t>80</w:t>
      </w:r>
    </w:p>
    <w:p>
      <w:pPr>
        <w:pStyle w:val="12"/>
        <w:tabs>
          <w:tab w:val="left" w:leader="dot" w:pos="7980"/>
          <w:tab w:val="left" w:leader="dot" w:pos="8296"/>
        </w:tabs>
        <w:adjustRightInd w:val="0"/>
        <w:snapToGrid w:val="0"/>
        <w:spacing w:line="440" w:lineRule="exact"/>
        <w:ind w:left="0" w:leftChars="0" w:firstLine="480" w:firstLineChars="200"/>
        <w:jc w:val="left"/>
        <w:rPr>
          <w:rFonts w:hint="default" w:eastAsia="宋体"/>
          <w:color w:val="auto"/>
          <w:sz w:val="24"/>
          <w:lang w:val="en-US" w:eastAsia="zh-CN"/>
        </w:rPr>
      </w:pPr>
      <w:r>
        <w:rPr>
          <w:rFonts w:hint="eastAsia"/>
          <w:color w:val="auto"/>
          <w:sz w:val="24"/>
        </w:rPr>
        <w:t>十二、政府性基金预算财政拨款“三公”经费支出决算表</w:t>
      </w:r>
      <w:r>
        <w:rPr>
          <w:rFonts w:hint="eastAsia"/>
          <w:color w:val="auto"/>
          <w:sz w:val="24"/>
          <w:lang w:val="en-US" w:eastAsia="zh-CN"/>
        </w:rPr>
        <w:tab/>
      </w:r>
      <w:r>
        <w:rPr>
          <w:rFonts w:hint="eastAsia"/>
          <w:color w:val="auto"/>
          <w:sz w:val="24"/>
          <w:lang w:val="en-US" w:eastAsia="zh-CN"/>
        </w:rPr>
        <w:t>81</w:t>
      </w:r>
    </w:p>
    <w:p>
      <w:pPr>
        <w:pStyle w:val="12"/>
        <w:tabs>
          <w:tab w:val="left" w:leader="dot" w:pos="7980"/>
          <w:tab w:val="left" w:leader="dot" w:pos="8296"/>
        </w:tabs>
        <w:adjustRightInd w:val="0"/>
        <w:snapToGrid w:val="0"/>
        <w:spacing w:line="440" w:lineRule="exact"/>
        <w:ind w:left="0" w:leftChars="0" w:firstLine="480" w:firstLineChars="200"/>
        <w:jc w:val="left"/>
        <w:rPr>
          <w:rFonts w:hint="default" w:eastAsia="宋体"/>
          <w:color w:val="auto"/>
          <w:sz w:val="24"/>
          <w:lang w:val="en-US" w:eastAsia="zh-CN"/>
        </w:rPr>
      </w:pPr>
      <w:r>
        <w:rPr>
          <w:rFonts w:hint="eastAsia"/>
          <w:color w:val="auto"/>
          <w:sz w:val="24"/>
        </w:rPr>
        <w:t>十三、国有资本经营预算</w:t>
      </w:r>
      <w:r>
        <w:rPr>
          <w:rFonts w:hint="eastAsia"/>
          <w:color w:val="auto"/>
          <w:sz w:val="24"/>
          <w:lang w:eastAsia="zh-CN"/>
        </w:rPr>
        <w:t>财政拨款收入</w:t>
      </w:r>
      <w:r>
        <w:rPr>
          <w:rFonts w:hint="eastAsia"/>
          <w:color w:val="auto"/>
          <w:sz w:val="24"/>
        </w:rPr>
        <w:t>支出决算表</w:t>
      </w:r>
      <w:r>
        <w:rPr>
          <w:rFonts w:hint="eastAsia"/>
          <w:color w:val="auto"/>
          <w:sz w:val="24"/>
          <w:lang w:val="en-US" w:eastAsia="zh-CN"/>
        </w:rPr>
        <w:tab/>
      </w:r>
      <w:r>
        <w:rPr>
          <w:rFonts w:hint="eastAsia"/>
          <w:color w:val="auto"/>
          <w:sz w:val="24"/>
          <w:lang w:val="en-US" w:eastAsia="zh-CN"/>
        </w:rPr>
        <w:t>82</w:t>
      </w:r>
    </w:p>
    <w:p>
      <w:pPr>
        <w:pStyle w:val="12"/>
        <w:tabs>
          <w:tab w:val="left" w:leader="dot" w:pos="7980"/>
          <w:tab w:val="left" w:leader="dot" w:pos="8296"/>
        </w:tabs>
        <w:adjustRightInd w:val="0"/>
        <w:snapToGrid w:val="0"/>
        <w:spacing w:line="440" w:lineRule="exact"/>
        <w:ind w:left="0" w:leftChars="0" w:firstLine="480" w:firstLineChars="200"/>
        <w:jc w:val="left"/>
        <w:rPr>
          <w:rFonts w:hint="default"/>
          <w:color w:val="auto"/>
          <w:sz w:val="24"/>
          <w:lang w:val="en-US" w:eastAsia="zh-CN"/>
        </w:rPr>
      </w:pPr>
      <w:r>
        <w:rPr>
          <w:rFonts w:hint="eastAsia"/>
          <w:color w:val="auto"/>
          <w:sz w:val="24"/>
          <w:lang w:val="en-US" w:eastAsia="zh-CN"/>
        </w:rPr>
        <w:t>十四、国有资本经营预算财政拨款支出决算表</w:t>
      </w:r>
      <w:r>
        <w:rPr>
          <w:rFonts w:hint="eastAsia"/>
          <w:color w:val="auto"/>
          <w:sz w:val="24"/>
          <w:lang w:val="en-US" w:eastAsia="zh-CN"/>
        </w:rPr>
        <w:tab/>
      </w:r>
      <w:r>
        <w:rPr>
          <w:rFonts w:hint="eastAsia"/>
          <w:color w:val="auto"/>
          <w:sz w:val="24"/>
          <w:lang w:val="en-US" w:eastAsia="zh-CN"/>
        </w:rPr>
        <w:t>83</w:t>
      </w:r>
    </w:p>
    <w:p>
      <w:pPr>
        <w:widowControl/>
        <w:tabs>
          <w:tab w:val="left" w:leader="dot" w:pos="7980"/>
          <w:tab w:val="left" w:leader="dot" w:pos="8296"/>
        </w:tabs>
        <w:spacing w:line="440" w:lineRule="exact"/>
        <w:jc w:val="left"/>
        <w:rPr>
          <w:rFonts w:ascii="仿宋" w:hAnsi="仿宋" w:eastAsia="仿宋"/>
          <w:bCs/>
          <w:kern w:val="44"/>
          <w:sz w:val="24"/>
        </w:rPr>
      </w:pPr>
    </w:p>
    <w:p>
      <w:pPr>
        <w:pStyle w:val="3"/>
        <w:jc w:val="both"/>
        <w:rPr>
          <w:rFonts w:hint="eastAsia" w:ascii="黑体" w:hAnsi="黑体" w:eastAsia="黑体"/>
          <w:b w:val="0"/>
        </w:rPr>
      </w:pPr>
    </w:p>
    <w:p>
      <w:pPr>
        <w:pStyle w:val="3"/>
        <w:jc w:val="center"/>
        <w:rPr>
          <w:rFonts w:hint="eastAsia" w:ascii="黑体" w:hAnsi="黑体" w:eastAsia="黑体"/>
          <w:b w:val="0"/>
        </w:rPr>
      </w:pPr>
    </w:p>
    <w:p>
      <w:pPr>
        <w:pStyle w:val="3"/>
        <w:jc w:val="center"/>
        <w:rPr>
          <w:rFonts w:hint="eastAsia" w:ascii="黑体" w:hAnsi="黑体" w:eastAsia="黑体"/>
          <w:b w:val="0"/>
        </w:rPr>
      </w:pPr>
    </w:p>
    <w:p>
      <w:pPr>
        <w:pStyle w:val="3"/>
        <w:jc w:val="both"/>
        <w:rPr>
          <w:rFonts w:hint="eastAsia" w:ascii="黑体" w:hAnsi="黑体" w:eastAsia="黑体"/>
          <w:b w:val="0"/>
        </w:rPr>
      </w:pPr>
    </w:p>
    <w:bookmarkEnd w:id="12"/>
    <w:bookmarkEnd w:id="13"/>
    <w:p>
      <w:pPr>
        <w:widowControl/>
        <w:jc w:val="left"/>
        <w:rPr>
          <w:rFonts w:ascii="黑体" w:eastAsia="黑体"/>
          <w:color w:val="000000"/>
          <w:sz w:val="32"/>
          <w:szCs w:val="32"/>
        </w:rPr>
      </w:pPr>
    </w:p>
    <w:p>
      <w:pPr>
        <w:widowControl/>
        <w:jc w:val="left"/>
        <w:rPr>
          <w:rFonts w:ascii="黑体" w:eastAsia="黑体"/>
          <w:color w:val="000000"/>
          <w:sz w:val="32"/>
          <w:szCs w:val="32"/>
        </w:rPr>
      </w:pPr>
    </w:p>
    <w:p>
      <w:pPr>
        <w:widowControl/>
        <w:jc w:val="left"/>
        <w:rPr>
          <w:rFonts w:ascii="黑体" w:eastAsia="黑体"/>
          <w:color w:val="000000"/>
          <w:sz w:val="32"/>
          <w:szCs w:val="32"/>
        </w:rPr>
      </w:pPr>
    </w:p>
    <w:p>
      <w:pPr>
        <w:widowControl/>
        <w:jc w:val="left"/>
        <w:rPr>
          <w:rFonts w:ascii="黑体" w:eastAsia="黑体"/>
          <w:color w:val="000000"/>
          <w:sz w:val="32"/>
          <w:szCs w:val="32"/>
        </w:rPr>
      </w:pPr>
    </w:p>
    <w:p>
      <w:pPr>
        <w:widowControl/>
        <w:jc w:val="left"/>
        <w:rPr>
          <w:rFonts w:ascii="黑体" w:eastAsia="黑体"/>
          <w:color w:val="000000"/>
          <w:sz w:val="32"/>
          <w:szCs w:val="32"/>
        </w:rPr>
      </w:pPr>
    </w:p>
    <w:p>
      <w:pPr>
        <w:widowControl/>
        <w:jc w:val="left"/>
        <w:rPr>
          <w:rFonts w:ascii="黑体" w:eastAsia="黑体"/>
          <w:color w:val="000000"/>
          <w:sz w:val="32"/>
          <w:szCs w:val="32"/>
        </w:rPr>
      </w:pPr>
    </w:p>
    <w:p>
      <w:pPr>
        <w:widowControl/>
        <w:jc w:val="left"/>
        <w:rPr>
          <w:rFonts w:ascii="黑体" w:eastAsia="黑体"/>
          <w:color w:val="000000"/>
          <w:sz w:val="32"/>
          <w:szCs w:val="32"/>
        </w:rPr>
      </w:pPr>
    </w:p>
    <w:p>
      <w:pPr>
        <w:widowControl/>
        <w:jc w:val="left"/>
        <w:rPr>
          <w:rFonts w:ascii="黑体" w:eastAsia="黑体"/>
          <w:color w:val="000000"/>
          <w:sz w:val="32"/>
          <w:szCs w:val="32"/>
        </w:rPr>
      </w:pPr>
    </w:p>
    <w:p>
      <w:pPr>
        <w:widowControl/>
        <w:jc w:val="left"/>
        <w:rPr>
          <w:rFonts w:ascii="黑体" w:eastAsia="黑体"/>
          <w:color w:val="000000"/>
          <w:sz w:val="32"/>
          <w:szCs w:val="32"/>
        </w:rPr>
      </w:pPr>
    </w:p>
    <w:p>
      <w:pPr>
        <w:widowControl/>
        <w:jc w:val="left"/>
        <w:rPr>
          <w:rFonts w:ascii="黑体" w:eastAsia="黑体"/>
          <w:color w:val="000000"/>
          <w:sz w:val="32"/>
          <w:szCs w:val="32"/>
        </w:rPr>
      </w:pPr>
    </w:p>
    <w:p>
      <w:pPr>
        <w:pStyle w:val="3"/>
        <w:pageBreakBefore w:val="0"/>
        <w:widowControl w:val="0"/>
        <w:kinsoku/>
        <w:wordWrap/>
        <w:overflowPunct/>
        <w:topLinePunct w:val="0"/>
        <w:autoSpaceDE/>
        <w:autoSpaceDN/>
        <w:bidi w:val="0"/>
        <w:adjustRightInd/>
        <w:snapToGrid/>
        <w:jc w:val="center"/>
        <w:textAlignment w:val="auto"/>
        <w:rPr>
          <w:rFonts w:ascii="黑体" w:eastAsia="黑体"/>
          <w:color w:val="000000"/>
          <w:sz w:val="32"/>
          <w:szCs w:val="32"/>
        </w:rPr>
      </w:pPr>
      <w:r>
        <w:rPr>
          <w:rFonts w:hint="eastAsia" w:ascii="黑体" w:hAnsi="黑体" w:eastAsia="黑体"/>
          <w:b w:val="0"/>
          <w:color w:val="auto"/>
        </w:rPr>
        <w:t xml:space="preserve">第一部分 </w:t>
      </w:r>
      <w:r>
        <w:rPr>
          <w:rFonts w:hint="eastAsia" w:ascii="黑体" w:hAnsi="黑体" w:eastAsia="黑体"/>
          <w:b w:val="0"/>
          <w:color w:val="auto"/>
          <w:lang w:eastAsia="zh-CN"/>
        </w:rPr>
        <w:t>单位</w:t>
      </w:r>
      <w:r>
        <w:rPr>
          <w:rStyle w:val="25"/>
          <w:rFonts w:hint="eastAsia" w:ascii="黑体" w:hAnsi="黑体" w:eastAsia="黑体"/>
          <w:b w:val="0"/>
          <w:bCs w:val="0"/>
          <w:color w:val="auto"/>
        </w:rPr>
        <w:t>概况</w:t>
      </w:r>
    </w:p>
    <w:p>
      <w:pPr>
        <w:pStyle w:val="4"/>
        <w:pageBreakBefore w:val="0"/>
        <w:widowControl w:val="0"/>
        <w:numPr>
          <w:ilvl w:val="0"/>
          <w:numId w:val="1"/>
        </w:numPr>
        <w:kinsoku/>
        <w:wordWrap/>
        <w:overflowPunct/>
        <w:topLinePunct w:val="0"/>
        <w:autoSpaceDE/>
        <w:autoSpaceDN/>
        <w:bidi w:val="0"/>
        <w:adjustRightInd/>
        <w:snapToGrid/>
        <w:textAlignment w:val="auto"/>
        <w:outlineLvl w:val="1"/>
        <w:rPr>
          <w:rFonts w:hint="eastAsia"/>
        </w:rPr>
      </w:pPr>
      <w:r>
        <w:rPr>
          <w:rStyle w:val="26"/>
          <w:rFonts w:hint="eastAsia" w:ascii="黑体" w:hAnsi="黑体" w:eastAsia="黑体"/>
          <w:b w:val="0"/>
          <w:bCs w:val="0"/>
          <w:color w:val="auto"/>
        </w:rPr>
        <w:t>职能</w:t>
      </w:r>
      <w:r>
        <w:rPr>
          <w:rStyle w:val="26"/>
          <w:rFonts w:hint="eastAsia" w:ascii="黑体" w:hAnsi="黑体" w:eastAsia="黑体"/>
          <w:b w:val="0"/>
          <w:bCs w:val="0"/>
          <w:color w:val="auto"/>
          <w:lang w:eastAsia="zh-CN"/>
        </w:rPr>
        <w:t>简介</w:t>
      </w:r>
      <w:bookmarkStart w:id="14" w:name="_Toc15377199"/>
      <w:bookmarkStart w:id="15" w:name="_Toc15378446"/>
    </w:p>
    <w:p>
      <w:pPr>
        <w:spacing w:line="550" w:lineRule="exact"/>
        <w:ind w:firstLine="633" w:firstLineChars="198"/>
        <w:rPr>
          <w:rFonts w:hint="eastAsia" w:ascii="仿宋" w:hAnsi="仿宋" w:eastAsia="仿宋" w:cs="仿宋"/>
          <w:sz w:val="32"/>
          <w:szCs w:val="32"/>
        </w:rPr>
      </w:pPr>
      <w:r>
        <w:rPr>
          <w:rFonts w:hint="eastAsia" w:ascii="仿宋" w:hAnsi="仿宋" w:eastAsia="仿宋" w:cs="仿宋"/>
          <w:sz w:val="32"/>
          <w:szCs w:val="32"/>
        </w:rPr>
        <w:t>我局是准公益性的事业单位，其职责：贯彻落实国家有关法律、法规和水利工作的方针、政策，制定并实施本灌区中长期发展规划；承担管理范围内水利工程的防洪调度、运行管理和维修养护及水利工程建设；会同当地水行政主管部门开展灌区水利工程保护；组织编制并实施灌区年度水量分配方案和调度计划，负责灌区内用水的统一调度，指导灌区抗旱和节约用水；受委托承担水利工程国有资产管理和经营，确保国有资产增值保值。</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我局财政财务管理是按照川编发[2007]115号文件规定，实行核定收支、定项补助的预算管理方式。</w:t>
      </w:r>
    </w:p>
    <w:p>
      <w:pPr>
        <w:pStyle w:val="4"/>
        <w:pageBreakBefore w:val="0"/>
        <w:widowControl w:val="0"/>
        <w:numPr>
          <w:ilvl w:val="0"/>
          <w:numId w:val="1"/>
        </w:numPr>
        <w:kinsoku/>
        <w:wordWrap/>
        <w:overflowPunct/>
        <w:topLinePunct w:val="0"/>
        <w:autoSpaceDE/>
        <w:autoSpaceDN/>
        <w:bidi w:val="0"/>
        <w:adjustRightInd/>
        <w:snapToGrid/>
        <w:textAlignment w:val="auto"/>
        <w:outlineLvl w:val="1"/>
        <w:rPr>
          <w:rFonts w:hint="default"/>
          <w:lang w:val="en-US" w:eastAsia="zh-CN"/>
        </w:rPr>
      </w:pPr>
      <w:r>
        <w:rPr>
          <w:rFonts w:hint="eastAsia" w:ascii="黑体" w:hAnsi="黑体" w:eastAsia="黑体"/>
          <w:b w:val="0"/>
          <w:color w:val="auto"/>
          <w:lang w:val="en-US" w:eastAsia="zh-CN"/>
        </w:rPr>
        <w:t>2020年重点</w:t>
      </w:r>
      <w:r>
        <w:rPr>
          <w:rFonts w:hint="eastAsia" w:ascii="黑体" w:hAnsi="黑体" w:eastAsia="黑体"/>
          <w:b w:val="0"/>
          <w:color w:val="auto"/>
        </w:rPr>
        <w:t>工作</w:t>
      </w:r>
      <w:r>
        <w:rPr>
          <w:rFonts w:hint="eastAsia" w:ascii="黑体" w:hAnsi="黑体" w:eastAsia="黑体"/>
          <w:b w:val="0"/>
          <w:color w:val="auto"/>
          <w:lang w:eastAsia="zh-CN"/>
        </w:rPr>
        <w:t>完成情况</w:t>
      </w:r>
    </w:p>
    <w:bookmarkEnd w:id="14"/>
    <w:bookmarkEnd w:id="15"/>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）供水工作保障有力</w:t>
      </w:r>
    </w:p>
    <w:p>
      <w:pPr>
        <w:ind w:firstLine="640" w:firstLineChars="200"/>
        <w:rPr>
          <w:rFonts w:hint="eastAsia" w:ascii="仿宋" w:hAnsi="仿宋" w:eastAsia="仿宋" w:cs="仿宋"/>
          <w:sz w:val="32"/>
          <w:szCs w:val="32"/>
          <w:lang w:eastAsia="zh-CN"/>
        </w:rPr>
      </w:pPr>
      <w:r>
        <w:rPr>
          <w:rFonts w:hint="eastAsia" w:ascii="楷体" w:hAnsi="楷体" w:eastAsia="楷体" w:cs="楷体"/>
          <w:sz w:val="32"/>
          <w:szCs w:val="32"/>
        </w:rPr>
        <w:t>一是</w:t>
      </w:r>
      <w:r>
        <w:rPr>
          <w:rFonts w:hint="eastAsia" w:ascii="仿宋" w:hAnsi="仿宋" w:eastAsia="仿宋" w:cs="仿宋"/>
          <w:sz w:val="32"/>
          <w:szCs w:val="32"/>
          <w:lang w:eastAsia="zh-CN"/>
        </w:rPr>
        <w:t>灌区</w:t>
      </w:r>
      <w:r>
        <w:rPr>
          <w:rFonts w:hint="eastAsia" w:ascii="仿宋" w:hAnsi="仿宋" w:eastAsia="仿宋" w:cs="仿宋"/>
          <w:sz w:val="32"/>
          <w:szCs w:val="32"/>
        </w:rPr>
        <w:t>输蓄水</w:t>
      </w:r>
      <w:r>
        <w:rPr>
          <w:rFonts w:hint="eastAsia" w:ascii="仿宋" w:hAnsi="仿宋" w:eastAsia="仿宋" w:cs="仿宋"/>
          <w:sz w:val="32"/>
          <w:szCs w:val="32"/>
          <w:lang w:eastAsia="zh-CN"/>
        </w:rPr>
        <w:t>进展顺利</w:t>
      </w:r>
      <w:r>
        <w:rPr>
          <w:rFonts w:hint="eastAsia" w:ascii="仿宋" w:hAnsi="仿宋" w:eastAsia="仿宋" w:cs="仿宋"/>
          <w:sz w:val="32"/>
          <w:szCs w:val="32"/>
        </w:rPr>
        <w:t>。按照“保障生活用水，提供工农业生产用水，支持生态环境用水”的原则，</w:t>
      </w:r>
      <w:r>
        <w:rPr>
          <w:rFonts w:hint="eastAsia" w:ascii="仿宋" w:hAnsi="仿宋" w:eastAsia="仿宋" w:cs="仿宋"/>
          <w:sz w:val="32"/>
          <w:szCs w:val="32"/>
          <w:lang w:eastAsia="zh-CN"/>
        </w:rPr>
        <w:t>全年</w:t>
      </w:r>
      <w:r>
        <w:rPr>
          <w:rFonts w:hint="eastAsia" w:ascii="仿宋" w:hAnsi="仿宋" w:eastAsia="仿宋" w:cs="仿宋"/>
          <w:sz w:val="32"/>
          <w:szCs w:val="32"/>
        </w:rPr>
        <w:t>共向丘陵灌区输水11.47亿m</w:t>
      </w:r>
      <w:r>
        <w:rPr>
          <w:rFonts w:hint="eastAsia" w:ascii="仿宋" w:hAnsi="仿宋" w:eastAsia="仿宋" w:cs="仿宋"/>
          <w:sz w:val="32"/>
          <w:szCs w:val="32"/>
          <w:vertAlign w:val="superscript"/>
        </w:rPr>
        <w:t>3</w:t>
      </w:r>
      <w:r>
        <w:rPr>
          <w:rFonts w:hint="eastAsia" w:ascii="仿宋" w:hAnsi="仿宋" w:eastAsia="仿宋" w:cs="仿宋"/>
          <w:sz w:val="32"/>
          <w:szCs w:val="32"/>
        </w:rPr>
        <w:t>；灌区工程蓄水13.49亿m</w:t>
      </w:r>
      <w:r>
        <w:rPr>
          <w:rFonts w:hint="eastAsia" w:ascii="仿宋" w:hAnsi="仿宋" w:eastAsia="仿宋" w:cs="仿宋"/>
          <w:sz w:val="32"/>
          <w:szCs w:val="32"/>
          <w:vertAlign w:val="superscript"/>
        </w:rPr>
        <w:t>3</w:t>
      </w:r>
      <w:r>
        <w:rPr>
          <w:rFonts w:hint="eastAsia" w:ascii="仿宋" w:hAnsi="仿宋" w:eastAsia="仿宋" w:cs="仿宋"/>
          <w:sz w:val="32"/>
          <w:szCs w:val="32"/>
        </w:rPr>
        <w:t>，其中省直管工程蓄水8.44亿m</w:t>
      </w:r>
      <w:r>
        <w:rPr>
          <w:rFonts w:hint="eastAsia" w:ascii="仿宋" w:hAnsi="仿宋" w:eastAsia="仿宋" w:cs="仿宋"/>
          <w:sz w:val="32"/>
          <w:szCs w:val="32"/>
          <w:vertAlign w:val="superscript"/>
        </w:rPr>
        <w:t>3</w:t>
      </w:r>
      <w:r>
        <w:rPr>
          <w:rFonts w:hint="eastAsia" w:ascii="仿宋" w:hAnsi="仿宋" w:eastAsia="仿宋" w:cs="仿宋"/>
          <w:sz w:val="32"/>
          <w:szCs w:val="32"/>
        </w:rPr>
        <w:t>；向成都及青白江地区工业和自来水厂供水14.23亿m</w:t>
      </w:r>
      <w:r>
        <w:rPr>
          <w:rFonts w:hint="eastAsia" w:ascii="仿宋" w:hAnsi="仿宋" w:eastAsia="仿宋" w:cs="仿宋"/>
          <w:sz w:val="32"/>
          <w:szCs w:val="32"/>
          <w:vertAlign w:val="superscript"/>
        </w:rPr>
        <w:t>3</w:t>
      </w:r>
      <w:r>
        <w:rPr>
          <w:rFonts w:hint="eastAsia" w:ascii="仿宋" w:hAnsi="仿宋" w:eastAsia="仿宋" w:cs="仿宋"/>
          <w:sz w:val="32"/>
          <w:szCs w:val="32"/>
        </w:rPr>
        <w:t>，向成都市供生态环境用水10.6亿m</w:t>
      </w:r>
      <w:r>
        <w:rPr>
          <w:rFonts w:hint="eastAsia" w:ascii="仿宋" w:hAnsi="仿宋" w:eastAsia="仿宋" w:cs="仿宋"/>
          <w:sz w:val="32"/>
          <w:szCs w:val="32"/>
          <w:vertAlign w:val="superscript"/>
        </w:rPr>
        <w:t>3</w:t>
      </w:r>
      <w:r>
        <w:rPr>
          <w:rFonts w:hint="eastAsia" w:ascii="仿宋" w:hAnsi="仿宋" w:eastAsia="仿宋" w:cs="仿宋"/>
          <w:sz w:val="32"/>
          <w:szCs w:val="32"/>
          <w:vertAlign w:val="baseline"/>
          <w:lang w:eastAsia="zh-CN"/>
        </w:rPr>
        <w:t>，</w:t>
      </w:r>
      <w:r>
        <w:rPr>
          <w:rFonts w:hint="eastAsia" w:ascii="仿宋" w:hAnsi="仿宋" w:eastAsia="仿宋" w:cs="仿宋"/>
          <w:sz w:val="32"/>
          <w:szCs w:val="32"/>
          <w:lang w:eastAsia="zh-CN"/>
        </w:rPr>
        <w:t>向</w:t>
      </w:r>
      <w:r>
        <w:rPr>
          <w:rFonts w:hint="eastAsia" w:ascii="仿宋" w:hAnsi="仿宋" w:eastAsia="仿宋" w:cs="仿宋"/>
          <w:sz w:val="32"/>
          <w:szCs w:val="32"/>
        </w:rPr>
        <w:t>通济堰灌区补水0.75亿m</w:t>
      </w:r>
      <w:r>
        <w:rPr>
          <w:rFonts w:hint="eastAsia" w:ascii="仿宋" w:hAnsi="仿宋" w:eastAsia="仿宋" w:cs="仿宋"/>
          <w:sz w:val="32"/>
          <w:szCs w:val="32"/>
          <w:vertAlign w:val="superscript"/>
        </w:rPr>
        <w:t>3</w:t>
      </w:r>
      <w:r>
        <w:rPr>
          <w:rFonts w:hint="eastAsia" w:ascii="仿宋" w:hAnsi="仿宋" w:eastAsia="仿宋" w:cs="仿宋"/>
          <w:sz w:val="32"/>
          <w:szCs w:val="32"/>
          <w:vertAlign w:val="baseline"/>
          <w:lang w:eastAsia="zh-CN"/>
        </w:rPr>
        <w:t>；</w:t>
      </w:r>
      <w:r>
        <w:rPr>
          <w:rFonts w:hint="eastAsia" w:ascii="楷体" w:hAnsi="楷体" w:eastAsia="楷体" w:cs="楷体"/>
          <w:sz w:val="32"/>
          <w:szCs w:val="32"/>
        </w:rPr>
        <w:t>二是</w:t>
      </w:r>
      <w:r>
        <w:rPr>
          <w:rFonts w:hint="eastAsia" w:ascii="仿宋" w:hAnsi="仿宋" w:eastAsia="仿宋" w:cs="仿宋"/>
          <w:sz w:val="32"/>
          <w:szCs w:val="32"/>
          <w:lang w:eastAsia="zh-CN"/>
        </w:rPr>
        <w:t>全力保障灌区粮食生产安全。</w:t>
      </w:r>
      <w:r>
        <w:rPr>
          <w:rFonts w:hint="eastAsia" w:ascii="仿宋" w:hAnsi="仿宋" w:eastAsia="仿宋" w:cs="仿宋"/>
          <w:sz w:val="32"/>
          <w:szCs w:val="32"/>
        </w:rPr>
        <w:t>春灌期间，灌区大范围持续高温少雨出现旱情，个别丘陵灌区尤为严重，管理局高度重视，多措并举</w:t>
      </w:r>
      <w:r>
        <w:rPr>
          <w:rFonts w:hint="eastAsia" w:ascii="仿宋" w:hAnsi="仿宋" w:eastAsia="仿宋" w:cs="仿宋"/>
          <w:sz w:val="32"/>
          <w:szCs w:val="32"/>
          <w:lang w:eastAsia="zh-CN"/>
        </w:rPr>
        <w:t>，</w:t>
      </w:r>
      <w:r>
        <w:rPr>
          <w:rFonts w:hint="eastAsia" w:ascii="仿宋" w:hAnsi="仿宋" w:eastAsia="仿宋" w:cs="仿宋"/>
          <w:sz w:val="32"/>
          <w:szCs w:val="32"/>
        </w:rPr>
        <w:t>克服了岷江上游来水不稳定</w:t>
      </w:r>
      <w:r>
        <w:rPr>
          <w:rFonts w:hint="eastAsia" w:ascii="仿宋" w:hAnsi="仿宋" w:eastAsia="仿宋" w:cs="仿宋"/>
          <w:sz w:val="32"/>
          <w:szCs w:val="32"/>
          <w:lang w:eastAsia="zh-CN"/>
        </w:rPr>
        <w:t>、</w:t>
      </w:r>
      <w:r>
        <w:rPr>
          <w:rFonts w:hint="eastAsia" w:ascii="仿宋" w:hAnsi="仿宋" w:eastAsia="仿宋" w:cs="仿宋"/>
          <w:sz w:val="32"/>
          <w:szCs w:val="32"/>
        </w:rPr>
        <w:t>疫情防控与工程整治冲突等不利因素，</w:t>
      </w:r>
      <w:r>
        <w:rPr>
          <w:rFonts w:hint="eastAsia" w:ascii="仿宋" w:hAnsi="仿宋" w:eastAsia="仿宋" w:cs="仿宋"/>
          <w:sz w:val="32"/>
          <w:szCs w:val="32"/>
          <w:lang w:eastAsia="zh-CN"/>
        </w:rPr>
        <w:t>顺利</w:t>
      </w:r>
      <w:r>
        <w:rPr>
          <w:rFonts w:hint="eastAsia" w:ascii="仿宋" w:hAnsi="仿宋" w:eastAsia="仿宋" w:cs="仿宋"/>
          <w:sz w:val="32"/>
          <w:szCs w:val="32"/>
        </w:rPr>
        <w:t>实现了灌区590.6万亩农田泡田、栽秧</w:t>
      </w:r>
      <w:r>
        <w:rPr>
          <w:rFonts w:hint="eastAsia" w:ascii="仿宋" w:hAnsi="仿宋" w:eastAsia="仿宋" w:cs="仿宋"/>
          <w:sz w:val="32"/>
          <w:szCs w:val="32"/>
          <w:lang w:eastAsia="zh-CN"/>
        </w:rPr>
        <w:t>；</w:t>
      </w:r>
      <w:r>
        <w:rPr>
          <w:rFonts w:hint="eastAsia" w:ascii="楷体" w:hAnsi="楷体" w:eastAsia="楷体" w:cs="楷体"/>
          <w:sz w:val="32"/>
          <w:szCs w:val="32"/>
          <w:lang w:eastAsia="zh-CN"/>
        </w:rPr>
        <w:t>三是</w:t>
      </w:r>
      <w:r>
        <w:rPr>
          <w:rFonts w:hint="eastAsia" w:ascii="仿宋" w:hAnsi="仿宋" w:eastAsia="仿宋" w:cs="仿宋"/>
          <w:sz w:val="32"/>
          <w:szCs w:val="32"/>
          <w:lang w:eastAsia="zh-CN"/>
        </w:rPr>
        <w:t>科学调度保安澜。2020年汛期，灌区遭遇多次强降雨，管理局采取有力措施、实施科学处置，根据上游来水情况，适时动态调整各渠道流量，有效应对上游高浊度来水和洪水分洪，最大程度减轻强降雨造成的损失，有力支持了灌区各地防汛工作。</w:t>
      </w:r>
    </w:p>
    <w:p>
      <w:pPr>
        <w:numPr>
          <w:ilvl w:val="0"/>
          <w:numId w:val="0"/>
        </w:numPr>
        <w:ind w:firstLine="320" w:firstLineChars="100"/>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w:t>
      </w:r>
      <w:r>
        <w:rPr>
          <w:rFonts w:hint="eastAsia" w:ascii="仿宋" w:hAnsi="仿宋" w:eastAsia="仿宋" w:cs="仿宋"/>
          <w:sz w:val="32"/>
          <w:szCs w:val="32"/>
        </w:rPr>
        <w:t>工程</w:t>
      </w:r>
      <w:r>
        <w:rPr>
          <w:rFonts w:hint="eastAsia" w:ascii="仿宋" w:hAnsi="仿宋" w:eastAsia="仿宋" w:cs="仿宋"/>
          <w:sz w:val="32"/>
          <w:szCs w:val="32"/>
          <w:lang w:eastAsia="zh-CN"/>
        </w:rPr>
        <w:t>基础不断夯实</w:t>
      </w:r>
    </w:p>
    <w:p>
      <w:pPr>
        <w:numPr>
          <w:ilvl w:val="0"/>
          <w:numId w:val="0"/>
        </w:numPr>
        <w:ind w:firstLine="640" w:firstLineChars="200"/>
        <w:rPr>
          <w:rFonts w:hint="eastAsia" w:ascii="仿宋" w:hAnsi="仿宋" w:eastAsia="仿宋" w:cs="仿宋"/>
          <w:sz w:val="32"/>
          <w:szCs w:val="32"/>
        </w:rPr>
      </w:pPr>
      <w:r>
        <w:rPr>
          <w:rFonts w:hint="eastAsia" w:ascii="楷体" w:hAnsi="楷体" w:eastAsia="楷体" w:cs="楷体"/>
          <w:sz w:val="32"/>
          <w:szCs w:val="32"/>
        </w:rPr>
        <w:t>一是</w:t>
      </w:r>
      <w:r>
        <w:rPr>
          <w:rFonts w:hint="eastAsia" w:ascii="仿宋" w:hAnsi="仿宋" w:eastAsia="仿宋" w:cs="仿宋"/>
          <w:sz w:val="32"/>
          <w:szCs w:val="32"/>
          <w:lang w:eastAsia="zh-CN"/>
        </w:rPr>
        <w:t>岁修常抓不懈</w:t>
      </w:r>
      <w:r>
        <w:rPr>
          <w:rFonts w:hint="eastAsia" w:ascii="仿宋" w:hAnsi="仿宋" w:eastAsia="仿宋" w:cs="仿宋"/>
          <w:sz w:val="32"/>
          <w:szCs w:val="32"/>
        </w:rPr>
        <w:t>。</w:t>
      </w:r>
      <w:r>
        <w:rPr>
          <w:rFonts w:hint="eastAsia" w:ascii="仿宋" w:hAnsi="仿宋" w:eastAsia="仿宋" w:cs="仿宋"/>
          <w:sz w:val="32"/>
          <w:szCs w:val="32"/>
          <w:lang w:eastAsia="zh-CN"/>
        </w:rPr>
        <w:t>灌区按期完成了</w:t>
      </w:r>
      <w:r>
        <w:rPr>
          <w:rFonts w:hint="eastAsia" w:ascii="仿宋" w:hAnsi="仿宋" w:eastAsia="仿宋" w:cs="仿宋"/>
          <w:sz w:val="32"/>
          <w:szCs w:val="32"/>
        </w:rPr>
        <w:t>2019年冬至2020年春岁修建设任务</w:t>
      </w:r>
      <w:r>
        <w:rPr>
          <w:rFonts w:hint="eastAsia" w:ascii="仿宋" w:hAnsi="仿宋" w:eastAsia="仿宋" w:cs="仿宋"/>
          <w:sz w:val="32"/>
          <w:szCs w:val="32"/>
          <w:lang w:eastAsia="zh-CN"/>
        </w:rPr>
        <w:t>，共实施项目</w:t>
      </w:r>
      <w:r>
        <w:rPr>
          <w:rFonts w:hint="eastAsia" w:ascii="仿宋" w:hAnsi="仿宋" w:eastAsia="仿宋" w:cs="仿宋"/>
          <w:sz w:val="32"/>
          <w:szCs w:val="32"/>
          <w:lang w:val="en-US" w:eastAsia="zh-CN"/>
        </w:rPr>
        <w:t>739</w:t>
      </w:r>
      <w:r>
        <w:rPr>
          <w:rFonts w:hint="eastAsia" w:ascii="仿宋" w:hAnsi="仿宋" w:eastAsia="仿宋" w:cs="仿宋"/>
          <w:sz w:val="32"/>
          <w:szCs w:val="32"/>
          <w:lang w:eastAsia="zh-CN"/>
        </w:rPr>
        <w:t>处（项），投入资金</w:t>
      </w:r>
      <w:r>
        <w:rPr>
          <w:rFonts w:hint="eastAsia" w:ascii="仿宋" w:hAnsi="仿宋" w:eastAsia="仿宋" w:cs="仿宋"/>
          <w:sz w:val="32"/>
          <w:szCs w:val="32"/>
          <w:lang w:val="en-US" w:eastAsia="zh-CN"/>
        </w:rPr>
        <w:t>0.59亿</w:t>
      </w:r>
      <w:r>
        <w:rPr>
          <w:rFonts w:hint="eastAsia" w:ascii="仿宋" w:hAnsi="仿宋" w:eastAsia="仿宋" w:cs="仿宋"/>
          <w:sz w:val="32"/>
          <w:szCs w:val="32"/>
          <w:lang w:eastAsia="zh-CN"/>
        </w:rPr>
        <w:t>元；</w:t>
      </w:r>
      <w:r>
        <w:rPr>
          <w:rFonts w:hint="eastAsia" w:ascii="仿宋" w:hAnsi="仿宋" w:eastAsia="仿宋" w:cs="仿宋"/>
          <w:sz w:val="32"/>
          <w:szCs w:val="32"/>
        </w:rPr>
        <w:t>2020年冬至2021年春</w:t>
      </w:r>
      <w:r>
        <w:rPr>
          <w:rFonts w:hint="eastAsia" w:ascii="仿宋" w:hAnsi="仿宋" w:eastAsia="仿宋" w:cs="仿宋"/>
          <w:sz w:val="32"/>
          <w:szCs w:val="32"/>
          <w:lang w:eastAsia="zh-CN"/>
        </w:rPr>
        <w:t>岁</w:t>
      </w:r>
      <w:r>
        <w:rPr>
          <w:rFonts w:hint="eastAsia" w:ascii="仿宋" w:hAnsi="仿宋" w:eastAsia="仿宋" w:cs="仿宋"/>
          <w:sz w:val="32"/>
          <w:szCs w:val="32"/>
        </w:rPr>
        <w:t>修</w:t>
      </w:r>
      <w:r>
        <w:rPr>
          <w:rFonts w:hint="eastAsia" w:ascii="仿宋" w:hAnsi="仿宋" w:eastAsia="仿宋" w:cs="仿宋"/>
          <w:sz w:val="32"/>
          <w:szCs w:val="32"/>
          <w:lang w:eastAsia="zh-CN"/>
        </w:rPr>
        <w:t>建设</w:t>
      </w:r>
      <w:r>
        <w:rPr>
          <w:rFonts w:hint="eastAsia" w:ascii="仿宋" w:hAnsi="仿宋" w:eastAsia="仿宋" w:cs="仿宋"/>
          <w:sz w:val="32"/>
          <w:szCs w:val="32"/>
        </w:rPr>
        <w:t>也</w:t>
      </w:r>
      <w:r>
        <w:rPr>
          <w:rFonts w:hint="eastAsia" w:ascii="仿宋" w:hAnsi="仿宋" w:eastAsia="仿宋" w:cs="仿宋"/>
          <w:sz w:val="32"/>
          <w:szCs w:val="32"/>
          <w:lang w:eastAsia="zh-CN"/>
        </w:rPr>
        <w:t>全面铺开</w:t>
      </w:r>
      <w:r>
        <w:rPr>
          <w:rFonts w:hint="eastAsia" w:ascii="仿宋" w:hAnsi="仿宋" w:eastAsia="仿宋" w:cs="仿宋"/>
          <w:sz w:val="32"/>
          <w:szCs w:val="32"/>
        </w:rPr>
        <w:t>，共计划实施项目811处（项），投入资金</w:t>
      </w:r>
      <w:r>
        <w:rPr>
          <w:rFonts w:hint="eastAsia" w:ascii="仿宋" w:hAnsi="仿宋" w:eastAsia="仿宋" w:cs="仿宋"/>
          <w:sz w:val="32"/>
          <w:szCs w:val="32"/>
          <w:lang w:eastAsia="zh-CN"/>
        </w:rPr>
        <w:t>约</w:t>
      </w:r>
      <w:r>
        <w:rPr>
          <w:rFonts w:hint="eastAsia" w:ascii="仿宋" w:hAnsi="仿宋" w:eastAsia="仿宋" w:cs="仿宋"/>
          <w:sz w:val="32"/>
          <w:szCs w:val="32"/>
          <w:lang w:val="en-US" w:eastAsia="zh-CN"/>
        </w:rPr>
        <w:t>0.7亿</w:t>
      </w:r>
      <w:r>
        <w:rPr>
          <w:rFonts w:hint="eastAsia" w:ascii="仿宋" w:hAnsi="仿宋" w:eastAsia="仿宋" w:cs="仿宋"/>
          <w:sz w:val="32"/>
          <w:szCs w:val="32"/>
        </w:rPr>
        <w:t>元</w:t>
      </w:r>
      <w:r>
        <w:rPr>
          <w:rFonts w:hint="eastAsia" w:ascii="仿宋" w:hAnsi="仿宋" w:eastAsia="仿宋" w:cs="仿宋"/>
          <w:sz w:val="32"/>
          <w:szCs w:val="32"/>
          <w:lang w:eastAsia="zh-CN"/>
        </w:rPr>
        <w:t>；</w:t>
      </w:r>
      <w:r>
        <w:rPr>
          <w:rFonts w:hint="eastAsia" w:ascii="楷体" w:hAnsi="楷体" w:eastAsia="楷体" w:cs="楷体"/>
          <w:sz w:val="32"/>
          <w:szCs w:val="32"/>
        </w:rPr>
        <w:t>二是</w:t>
      </w:r>
      <w:r>
        <w:rPr>
          <w:rFonts w:hint="eastAsia" w:ascii="仿宋" w:hAnsi="仿宋" w:eastAsia="仿宋" w:cs="仿宋"/>
          <w:sz w:val="32"/>
          <w:szCs w:val="32"/>
        </w:rPr>
        <w:t>项目储备加快推进。2020年灌区共争取下达续建配套与节水改造项目10个，投资</w:t>
      </w:r>
      <w:r>
        <w:rPr>
          <w:rFonts w:hint="eastAsia" w:ascii="仿宋" w:hAnsi="仿宋" w:eastAsia="仿宋" w:cs="仿宋"/>
          <w:sz w:val="32"/>
          <w:szCs w:val="32"/>
          <w:lang w:val="en-US" w:eastAsia="zh-CN"/>
        </w:rPr>
        <w:t>3.56</w:t>
      </w:r>
      <w:r>
        <w:rPr>
          <w:rFonts w:hint="eastAsia" w:ascii="仿宋" w:hAnsi="仿宋" w:eastAsia="仿宋" w:cs="仿宋"/>
          <w:sz w:val="32"/>
          <w:szCs w:val="32"/>
        </w:rPr>
        <w:t>亿元，目前所有项目</w:t>
      </w:r>
      <w:r>
        <w:rPr>
          <w:rFonts w:hint="eastAsia" w:ascii="仿宋" w:hAnsi="仿宋" w:eastAsia="仿宋" w:cs="仿宋"/>
          <w:sz w:val="32"/>
          <w:szCs w:val="32"/>
          <w:lang w:eastAsia="zh-CN"/>
        </w:rPr>
        <w:t>均开工建设，进展顺利，预计年底完成投资</w:t>
      </w:r>
      <w:r>
        <w:rPr>
          <w:rFonts w:hint="eastAsia" w:ascii="仿宋" w:hAnsi="仿宋" w:eastAsia="仿宋" w:cs="仿宋"/>
          <w:sz w:val="32"/>
          <w:szCs w:val="32"/>
          <w:lang w:val="en-US" w:eastAsia="zh-CN"/>
        </w:rPr>
        <w:t>3.25亿元，投资完成率达91%，达到水利部考核要求；</w:t>
      </w:r>
      <w:r>
        <w:rPr>
          <w:rFonts w:hint="eastAsia" w:ascii="楷体" w:hAnsi="楷体" w:eastAsia="楷体" w:cs="楷体"/>
          <w:sz w:val="32"/>
          <w:szCs w:val="32"/>
          <w:lang w:eastAsia="zh-CN"/>
        </w:rPr>
        <w:t>三是</w:t>
      </w:r>
      <w:r>
        <w:rPr>
          <w:rFonts w:hint="eastAsia" w:ascii="仿宋" w:hAnsi="仿宋" w:eastAsia="仿宋" w:cs="仿宋"/>
          <w:sz w:val="32"/>
          <w:szCs w:val="32"/>
          <w:lang w:eastAsia="zh-CN"/>
        </w:rPr>
        <w:t>防汛减灾应对有力。</w:t>
      </w:r>
      <w:r>
        <w:rPr>
          <w:rFonts w:hint="eastAsia" w:ascii="仿宋" w:hAnsi="仿宋" w:eastAsia="仿宋" w:cs="仿宋"/>
          <w:sz w:val="32"/>
          <w:szCs w:val="32"/>
          <w:lang w:val="en-US" w:eastAsia="zh-CN"/>
        </w:rPr>
        <w:t>今年水旱灾害形势严峻，</w:t>
      </w:r>
      <w:r>
        <w:rPr>
          <w:rFonts w:hint="eastAsia" w:ascii="仿宋" w:hAnsi="仿宋" w:eastAsia="仿宋" w:cs="仿宋"/>
          <w:sz w:val="32"/>
          <w:szCs w:val="32"/>
          <w:lang w:eastAsia="zh-CN"/>
        </w:rPr>
        <w:t>灌区各处牢固树立“生命至上、安全第一”思想，提前谋划部署，召开灌区水旱灾害防御工作会议，层层落实工作责任，协调落实防汛物资，有效应对了灌区多次强降雨过程，全力保障了灌区防汛安全和人民生命财产安全；</w:t>
      </w:r>
      <w:r>
        <w:rPr>
          <w:rFonts w:hint="eastAsia" w:ascii="楷体" w:hAnsi="楷体" w:eastAsia="楷体" w:cs="楷体"/>
          <w:sz w:val="32"/>
          <w:szCs w:val="32"/>
          <w:lang w:eastAsia="zh-CN"/>
        </w:rPr>
        <w:t>四</w:t>
      </w:r>
      <w:r>
        <w:rPr>
          <w:rFonts w:hint="eastAsia" w:ascii="楷体" w:hAnsi="楷体" w:eastAsia="楷体" w:cs="楷体"/>
          <w:sz w:val="32"/>
          <w:szCs w:val="32"/>
        </w:rPr>
        <w:t>是</w:t>
      </w:r>
      <w:r>
        <w:rPr>
          <w:rFonts w:hint="eastAsia" w:ascii="仿宋" w:hAnsi="仿宋" w:eastAsia="仿宋" w:cs="仿宋"/>
          <w:sz w:val="32"/>
          <w:szCs w:val="32"/>
        </w:rPr>
        <w:t>紧抓规划龙头。</w:t>
      </w:r>
      <w:r>
        <w:rPr>
          <w:rFonts w:hint="eastAsia" w:ascii="仿宋" w:hAnsi="仿宋" w:eastAsia="仿宋" w:cs="仿宋"/>
          <w:sz w:val="32"/>
          <w:szCs w:val="32"/>
          <w:lang w:eastAsia="zh-CN"/>
        </w:rPr>
        <w:t>提前谋划，会同中国水科院高质量</w:t>
      </w:r>
      <w:r>
        <w:rPr>
          <w:rFonts w:hint="eastAsia" w:ascii="仿宋" w:hAnsi="仿宋" w:eastAsia="仿宋" w:cs="仿宋"/>
          <w:sz w:val="32"/>
          <w:szCs w:val="32"/>
        </w:rPr>
        <w:t>编制完成了《四川省都江堰灌区续建配套与现代化改造十四五实施方案》，现已报</w:t>
      </w:r>
      <w:r>
        <w:rPr>
          <w:rFonts w:hint="eastAsia" w:ascii="仿宋" w:hAnsi="仿宋" w:eastAsia="仿宋" w:cs="仿宋"/>
          <w:sz w:val="32"/>
          <w:szCs w:val="32"/>
          <w:lang w:eastAsia="zh-CN"/>
        </w:rPr>
        <w:t>水利部审查</w:t>
      </w:r>
      <w:r>
        <w:rPr>
          <w:rFonts w:hint="eastAsia" w:ascii="仿宋" w:hAnsi="仿宋" w:eastAsia="仿宋" w:cs="仿宋"/>
          <w:sz w:val="32"/>
          <w:szCs w:val="32"/>
        </w:rPr>
        <w:t>。</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）现代化建设扎实推进</w:t>
      </w:r>
    </w:p>
    <w:p>
      <w:pPr>
        <w:ind w:firstLine="640" w:firstLineChars="200"/>
        <w:jc w:val="left"/>
        <w:rPr>
          <w:rFonts w:hint="eastAsia" w:ascii="仿宋" w:hAnsi="仿宋" w:eastAsia="仿宋" w:cs="仿宋"/>
          <w:sz w:val="32"/>
          <w:szCs w:val="32"/>
        </w:rPr>
      </w:pPr>
      <w:r>
        <w:rPr>
          <w:rFonts w:hint="eastAsia" w:ascii="楷体" w:hAnsi="楷体" w:eastAsia="楷体" w:cs="楷体"/>
          <w:sz w:val="32"/>
          <w:szCs w:val="32"/>
        </w:rPr>
        <w:t>一是</w:t>
      </w:r>
      <w:r>
        <w:rPr>
          <w:rFonts w:hint="eastAsia" w:ascii="仿宋" w:hAnsi="仿宋" w:eastAsia="仿宋" w:cs="仿宋"/>
          <w:sz w:val="32"/>
          <w:szCs w:val="32"/>
        </w:rPr>
        <w:t>灌区水利信息化建设推进有序</w:t>
      </w:r>
      <w:r>
        <w:rPr>
          <w:rFonts w:hint="eastAsia" w:ascii="仿宋" w:hAnsi="仿宋" w:eastAsia="仿宋" w:cs="仿宋"/>
          <w:sz w:val="32"/>
          <w:szCs w:val="32"/>
          <w:lang w:eastAsia="zh-CN"/>
        </w:rPr>
        <w:t>。</w:t>
      </w:r>
      <w:r>
        <w:rPr>
          <w:rFonts w:hint="eastAsia" w:ascii="仿宋" w:hAnsi="仿宋" w:eastAsia="仿宋" w:cs="仿宋"/>
          <w:sz w:val="32"/>
          <w:szCs w:val="32"/>
        </w:rPr>
        <w:t>《都江堰灌区水利信息化2018-2020项目》第一阶段初步设计</w:t>
      </w:r>
      <w:r>
        <w:rPr>
          <w:rFonts w:hint="eastAsia" w:ascii="仿宋" w:hAnsi="仿宋" w:eastAsia="仿宋" w:cs="仿宋"/>
          <w:sz w:val="32"/>
          <w:szCs w:val="32"/>
          <w:lang w:eastAsia="zh-CN"/>
        </w:rPr>
        <w:t>及审批工作已完成，部分项目已开始实施；</w:t>
      </w:r>
      <w:r>
        <w:rPr>
          <w:rFonts w:hint="eastAsia" w:ascii="仿宋" w:hAnsi="仿宋" w:eastAsia="仿宋" w:cs="仿宋"/>
          <w:color w:val="auto"/>
          <w:sz w:val="32"/>
          <w:szCs w:val="32"/>
          <w:lang w:eastAsia="zh-CN"/>
        </w:rPr>
        <w:t>灌区</w:t>
      </w:r>
      <w:r>
        <w:rPr>
          <w:rFonts w:hint="eastAsia" w:ascii="仿宋" w:hAnsi="仿宋" w:eastAsia="仿宋" w:cs="仿宋"/>
          <w:color w:val="auto"/>
          <w:sz w:val="32"/>
          <w:szCs w:val="32"/>
        </w:rPr>
        <w:t>量测水设施建设项目完成了EPC标及监理标招标及合同签订工作，</w:t>
      </w:r>
      <w:r>
        <w:rPr>
          <w:rFonts w:hint="eastAsia" w:ascii="仿宋" w:hAnsi="仿宋" w:eastAsia="仿宋" w:cs="仿宋"/>
          <w:color w:val="auto"/>
          <w:sz w:val="32"/>
          <w:szCs w:val="32"/>
          <w:lang w:val="en-US" w:eastAsia="zh-CN"/>
        </w:rPr>
        <w:t>12月底将完成</w:t>
      </w:r>
      <w:r>
        <w:rPr>
          <w:rFonts w:hint="eastAsia" w:ascii="仿宋" w:hAnsi="仿宋" w:eastAsia="仿宋" w:cs="仿宋"/>
          <w:color w:val="auto"/>
          <w:sz w:val="32"/>
          <w:szCs w:val="32"/>
        </w:rPr>
        <w:t>项目</w:t>
      </w:r>
      <w:r>
        <w:rPr>
          <w:rFonts w:hint="eastAsia" w:ascii="仿宋" w:hAnsi="仿宋" w:eastAsia="仿宋" w:cs="仿宋"/>
          <w:color w:val="auto"/>
          <w:sz w:val="32"/>
          <w:szCs w:val="32"/>
          <w:lang w:eastAsia="zh-CN"/>
        </w:rPr>
        <w:t>的</w:t>
      </w:r>
      <w:r>
        <w:rPr>
          <w:rFonts w:hint="eastAsia" w:ascii="仿宋" w:hAnsi="仿宋" w:eastAsia="仿宋" w:cs="仿宋"/>
          <w:color w:val="auto"/>
          <w:sz w:val="32"/>
          <w:szCs w:val="32"/>
        </w:rPr>
        <w:t>初步设计</w:t>
      </w:r>
      <w:r>
        <w:rPr>
          <w:rFonts w:hint="eastAsia" w:ascii="仿宋" w:hAnsi="仿宋" w:eastAsia="仿宋" w:cs="仿宋"/>
          <w:color w:val="auto"/>
          <w:sz w:val="32"/>
          <w:szCs w:val="32"/>
          <w:lang w:eastAsia="zh-CN"/>
        </w:rPr>
        <w:t>审批和部分资金拨付；灌区水利</w:t>
      </w:r>
      <w:r>
        <w:rPr>
          <w:rFonts w:hint="eastAsia" w:ascii="仿宋" w:hAnsi="仿宋" w:eastAsia="仿宋" w:cs="仿宋"/>
          <w:color w:val="auto"/>
          <w:sz w:val="32"/>
          <w:szCs w:val="32"/>
        </w:rPr>
        <w:t>科技示范基地项目</w:t>
      </w:r>
      <w:r>
        <w:rPr>
          <w:rFonts w:hint="eastAsia" w:ascii="仿宋" w:hAnsi="仿宋" w:eastAsia="仿宋" w:cs="仿宋"/>
          <w:color w:val="auto"/>
          <w:sz w:val="32"/>
          <w:szCs w:val="32"/>
          <w:lang w:eastAsia="zh-CN"/>
        </w:rPr>
        <w:t>规划已通过</w:t>
      </w:r>
      <w:r>
        <w:rPr>
          <w:rFonts w:hint="eastAsia" w:ascii="仿宋" w:hAnsi="仿宋" w:eastAsia="仿宋" w:cs="仿宋"/>
          <w:color w:val="auto"/>
          <w:sz w:val="32"/>
          <w:szCs w:val="32"/>
        </w:rPr>
        <w:t>审查</w:t>
      </w:r>
      <w:r>
        <w:rPr>
          <w:rFonts w:hint="eastAsia" w:ascii="仿宋" w:hAnsi="仿宋" w:eastAsia="仿宋" w:cs="仿宋"/>
          <w:color w:val="auto"/>
          <w:sz w:val="32"/>
          <w:szCs w:val="32"/>
          <w:lang w:eastAsia="zh-CN"/>
        </w:rPr>
        <w:t>并完成</w:t>
      </w:r>
      <w:r>
        <w:rPr>
          <w:rFonts w:hint="eastAsia" w:ascii="仿宋" w:hAnsi="仿宋" w:eastAsia="仿宋" w:cs="仿宋"/>
          <w:color w:val="auto"/>
          <w:sz w:val="32"/>
          <w:szCs w:val="32"/>
        </w:rPr>
        <w:t>初步设计的审批</w:t>
      </w:r>
      <w:r>
        <w:rPr>
          <w:rFonts w:hint="eastAsia" w:ascii="仿宋" w:hAnsi="仿宋" w:eastAsia="仿宋" w:cs="仿宋"/>
          <w:color w:val="auto"/>
          <w:sz w:val="32"/>
          <w:szCs w:val="32"/>
          <w:lang w:eastAsia="zh-CN"/>
        </w:rPr>
        <w:t>。</w:t>
      </w:r>
      <w:r>
        <w:rPr>
          <w:rFonts w:hint="eastAsia" w:ascii="楷体" w:hAnsi="楷体" w:eastAsia="楷体" w:cs="楷体"/>
          <w:sz w:val="32"/>
          <w:szCs w:val="32"/>
        </w:rPr>
        <w:t>二是</w:t>
      </w:r>
      <w:r>
        <w:rPr>
          <w:rFonts w:hint="eastAsia" w:ascii="仿宋" w:hAnsi="仿宋" w:eastAsia="仿宋" w:cs="仿宋"/>
          <w:sz w:val="32"/>
          <w:szCs w:val="32"/>
        </w:rPr>
        <w:t>水资源监控能力全面提升。2017年度、2018年度国控二期项目完成合同验收</w:t>
      </w:r>
      <w:r>
        <w:rPr>
          <w:rFonts w:hint="eastAsia" w:ascii="仿宋" w:hAnsi="仿宋" w:eastAsia="仿宋" w:cs="仿宋"/>
          <w:sz w:val="32"/>
          <w:szCs w:val="32"/>
          <w:lang w:eastAsia="zh-CN"/>
        </w:rPr>
        <w:t>并通过</w:t>
      </w:r>
      <w:r>
        <w:rPr>
          <w:rFonts w:hint="eastAsia" w:ascii="仿宋" w:hAnsi="仿宋" w:eastAsia="仿宋" w:cs="仿宋"/>
          <w:sz w:val="32"/>
          <w:szCs w:val="32"/>
        </w:rPr>
        <w:t>技术评估，</w:t>
      </w:r>
      <w:r>
        <w:rPr>
          <w:rFonts w:hint="eastAsia" w:ascii="仿宋" w:hAnsi="仿宋" w:eastAsia="仿宋" w:cs="仿宋"/>
          <w:sz w:val="32"/>
          <w:szCs w:val="32"/>
          <w:lang w:eastAsia="zh-CN"/>
        </w:rPr>
        <w:t>得到了</w:t>
      </w:r>
      <w:r>
        <w:rPr>
          <w:rFonts w:hint="eastAsia" w:ascii="仿宋" w:hAnsi="仿宋" w:eastAsia="仿宋" w:cs="仿宋"/>
          <w:sz w:val="32"/>
          <w:szCs w:val="32"/>
        </w:rPr>
        <w:t>水利部检查专家组</w:t>
      </w:r>
      <w:r>
        <w:rPr>
          <w:rFonts w:hint="eastAsia" w:ascii="仿宋" w:hAnsi="仿宋" w:eastAsia="仿宋" w:cs="仿宋"/>
          <w:sz w:val="32"/>
          <w:szCs w:val="32"/>
          <w:lang w:eastAsia="zh-CN"/>
        </w:rPr>
        <w:t>肯定；</w:t>
      </w:r>
      <w:r>
        <w:rPr>
          <w:rFonts w:hint="eastAsia" w:ascii="仿宋" w:hAnsi="仿宋" w:eastAsia="仿宋" w:cs="仿宋"/>
          <w:sz w:val="32"/>
          <w:szCs w:val="32"/>
        </w:rPr>
        <w:t>256个在线监控点位数据</w:t>
      </w:r>
      <w:r>
        <w:rPr>
          <w:rFonts w:hint="eastAsia" w:ascii="仿宋" w:hAnsi="仿宋" w:eastAsia="仿宋" w:cs="仿宋"/>
          <w:sz w:val="32"/>
          <w:szCs w:val="32"/>
          <w:lang w:eastAsia="zh-CN"/>
        </w:rPr>
        <w:t>已</w:t>
      </w:r>
      <w:r>
        <w:rPr>
          <w:rFonts w:hint="eastAsia" w:ascii="仿宋" w:hAnsi="仿宋" w:eastAsia="仿宋" w:cs="仿宋"/>
          <w:sz w:val="32"/>
          <w:szCs w:val="32"/>
        </w:rPr>
        <w:t>接入省国控平台，数据及时率和到报率均合格</w:t>
      </w:r>
      <w:r>
        <w:rPr>
          <w:rFonts w:hint="eastAsia" w:ascii="仿宋" w:hAnsi="仿宋" w:eastAsia="仿宋" w:cs="仿宋"/>
          <w:sz w:val="32"/>
          <w:szCs w:val="32"/>
          <w:lang w:eastAsia="zh-CN"/>
        </w:rPr>
        <w:t>，目前正开展工程结算审计，</w:t>
      </w:r>
      <w:r>
        <w:rPr>
          <w:rFonts w:hint="eastAsia" w:ascii="仿宋" w:hAnsi="仿宋" w:eastAsia="仿宋" w:cs="仿宋"/>
          <w:sz w:val="32"/>
          <w:szCs w:val="32"/>
          <w:lang w:val="en-US" w:eastAsia="zh-CN"/>
        </w:rPr>
        <w:t>12月</w:t>
      </w:r>
      <w:r>
        <w:rPr>
          <w:rFonts w:hint="eastAsia" w:ascii="仿宋" w:hAnsi="仿宋" w:eastAsia="仿宋" w:cs="仿宋"/>
          <w:sz w:val="32"/>
          <w:szCs w:val="32"/>
          <w:lang w:eastAsia="zh-CN"/>
        </w:rPr>
        <w:t>底将完成竣工验收。</w:t>
      </w:r>
      <w:r>
        <w:rPr>
          <w:rFonts w:hint="eastAsia" w:ascii="楷体" w:hAnsi="楷体" w:eastAsia="楷体" w:cs="楷体"/>
          <w:sz w:val="32"/>
          <w:szCs w:val="32"/>
        </w:rPr>
        <w:t>三是</w:t>
      </w:r>
      <w:r>
        <w:rPr>
          <w:rFonts w:hint="eastAsia" w:ascii="仿宋" w:hAnsi="仿宋" w:eastAsia="仿宋" w:cs="仿宋"/>
          <w:sz w:val="32"/>
          <w:szCs w:val="32"/>
        </w:rPr>
        <w:t>水利科技项目实现双丰收。水利部科技推广项目《四川丘陵灌区标准水肥一体智能灌溉系统应用示范项目》和四川省科技计划项目《都江堰灌渠岸堤病害无人机巡检与动态监测技术研究及应用示范项目》均通过主管部门验收</w:t>
      </w:r>
      <w:r>
        <w:rPr>
          <w:rFonts w:hint="eastAsia" w:ascii="仿宋" w:hAnsi="仿宋" w:eastAsia="仿宋" w:cs="仿宋"/>
          <w:sz w:val="32"/>
          <w:szCs w:val="32"/>
          <w:lang w:eastAsia="zh-CN"/>
        </w:rPr>
        <w:t>和结题工作</w:t>
      </w:r>
      <w:r>
        <w:rPr>
          <w:rFonts w:hint="eastAsia" w:ascii="仿宋" w:hAnsi="仿宋" w:eastAsia="仿宋" w:cs="仿宋"/>
          <w:sz w:val="32"/>
          <w:szCs w:val="32"/>
        </w:rPr>
        <w:t>。</w:t>
      </w:r>
    </w:p>
    <w:p>
      <w:pPr>
        <w:pStyle w:val="11"/>
        <w:ind w:left="0" w:leftChars="0"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w:t>
      </w:r>
      <w:r>
        <w:rPr>
          <w:rFonts w:hint="eastAsia" w:ascii="仿宋" w:hAnsi="仿宋" w:eastAsia="仿宋" w:cs="仿宋"/>
          <w:sz w:val="32"/>
          <w:szCs w:val="32"/>
        </w:rPr>
        <w:t>脱贫攻坚成效明显</w:t>
      </w:r>
    </w:p>
    <w:p>
      <w:pPr>
        <w:pStyle w:val="11"/>
        <w:ind w:left="0" w:leftChars="0" w:firstLine="960" w:firstLineChars="300"/>
        <w:rPr>
          <w:rFonts w:hint="eastAsia" w:ascii="仿宋" w:hAnsi="仿宋" w:eastAsia="仿宋" w:cs="仿宋"/>
          <w:sz w:val="32"/>
          <w:szCs w:val="32"/>
          <w:lang w:val="en-US" w:eastAsia="zh-CN"/>
        </w:rPr>
      </w:pPr>
      <w:r>
        <w:rPr>
          <w:rFonts w:hint="eastAsia" w:ascii="楷体" w:hAnsi="楷体" w:eastAsia="楷体" w:cs="楷体"/>
          <w:sz w:val="32"/>
          <w:szCs w:val="32"/>
        </w:rPr>
        <w:t>一是</w:t>
      </w:r>
      <w:r>
        <w:rPr>
          <w:rFonts w:hint="eastAsia" w:ascii="仿宋" w:hAnsi="仿宋" w:eastAsia="仿宋" w:cs="仿宋"/>
          <w:sz w:val="32"/>
          <w:szCs w:val="32"/>
          <w:lang w:eastAsia="zh-CN"/>
        </w:rPr>
        <w:t>开展</w:t>
      </w:r>
      <w:r>
        <w:rPr>
          <w:rFonts w:hint="eastAsia" w:ascii="仿宋" w:hAnsi="仿宋" w:eastAsia="仿宋" w:cs="仿宋"/>
          <w:sz w:val="32"/>
          <w:szCs w:val="32"/>
        </w:rPr>
        <w:t>农村安全饮水帮扶。</w:t>
      </w:r>
      <w:r>
        <w:rPr>
          <w:rFonts w:hint="eastAsia" w:ascii="仿宋" w:hAnsi="仿宋" w:eastAsia="仿宋" w:cs="仿宋"/>
          <w:sz w:val="32"/>
          <w:szCs w:val="32"/>
          <w:lang w:eastAsia="zh-CN"/>
        </w:rPr>
        <w:t>管理局按照水利厅统一部署，</w:t>
      </w:r>
      <w:r>
        <w:rPr>
          <w:rFonts w:hint="eastAsia" w:ascii="仿宋" w:hAnsi="仿宋" w:eastAsia="仿宋" w:cs="仿宋"/>
          <w:sz w:val="32"/>
          <w:szCs w:val="32"/>
        </w:rPr>
        <w:t>我局派出督战队常驻美姑县，局党政主要负责人交替前往</w:t>
      </w:r>
      <w:r>
        <w:rPr>
          <w:rFonts w:hint="eastAsia" w:ascii="仿宋" w:hAnsi="仿宋" w:eastAsia="仿宋" w:cs="仿宋"/>
          <w:sz w:val="32"/>
          <w:szCs w:val="32"/>
          <w:lang w:eastAsia="zh-CN"/>
        </w:rPr>
        <w:t>督战</w:t>
      </w:r>
      <w:r>
        <w:rPr>
          <w:rFonts w:hint="eastAsia" w:ascii="仿宋" w:hAnsi="仿宋" w:eastAsia="仿宋" w:cs="仿宋"/>
          <w:sz w:val="32"/>
          <w:szCs w:val="32"/>
        </w:rPr>
        <w:t>，完成了对美姑县36个乡镇292个行政村1002户的入户复核，得到当地干部群众</w:t>
      </w:r>
      <w:r>
        <w:rPr>
          <w:rFonts w:hint="eastAsia" w:ascii="仿宋" w:hAnsi="仿宋" w:eastAsia="仿宋" w:cs="仿宋"/>
          <w:sz w:val="32"/>
          <w:szCs w:val="32"/>
          <w:lang w:eastAsia="zh-CN"/>
        </w:rPr>
        <w:t>赞许和</w:t>
      </w:r>
      <w:r>
        <w:rPr>
          <w:rFonts w:hint="eastAsia" w:ascii="仿宋" w:hAnsi="仿宋" w:eastAsia="仿宋" w:cs="仿宋"/>
          <w:sz w:val="32"/>
          <w:szCs w:val="32"/>
        </w:rPr>
        <w:t>肯定</w:t>
      </w:r>
      <w:r>
        <w:rPr>
          <w:rFonts w:hint="eastAsia" w:ascii="仿宋" w:hAnsi="仿宋" w:eastAsia="仿宋" w:cs="仿宋"/>
          <w:sz w:val="32"/>
          <w:szCs w:val="32"/>
          <w:lang w:eastAsia="zh-CN"/>
        </w:rPr>
        <w:t>。管理局脱贫攻坚工作成效得到上级的充分肯定，</w:t>
      </w:r>
      <w:r>
        <w:rPr>
          <w:rFonts w:hint="eastAsia" w:ascii="仿宋" w:hAnsi="仿宋" w:eastAsia="仿宋" w:cs="仿宋"/>
          <w:sz w:val="32"/>
          <w:szCs w:val="32"/>
          <w:lang w:val="en-US" w:eastAsia="zh-CN"/>
        </w:rPr>
        <w:t>2020年管理局被授予“</w:t>
      </w:r>
      <w:r>
        <w:rPr>
          <w:rFonts w:hint="eastAsia" w:ascii="仿宋" w:hAnsi="仿宋" w:eastAsia="仿宋" w:cs="仿宋"/>
          <w:sz w:val="32"/>
          <w:szCs w:val="32"/>
          <w:lang w:eastAsia="zh-CN"/>
        </w:rPr>
        <w:t>2020年四川省事业单位脱贫攻坚专项奖励记大功</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集体</w:t>
      </w:r>
      <w:r>
        <w:rPr>
          <w:rFonts w:hint="eastAsia" w:ascii="仿宋" w:hAnsi="仿宋" w:eastAsia="仿宋" w:cs="仿宋"/>
          <w:sz w:val="32"/>
          <w:szCs w:val="32"/>
          <w:lang w:val="en-US" w:eastAsia="zh-CN"/>
        </w:rPr>
        <w:t>，5名扶贫干部获得“四川省水利厅脱贫攻坚专项奖励个人记功”，17名扶贫干部获得“四川省水利厅脱贫攻坚专项奖励个人嘉奖”。</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（四）治水管水能力持续提升</w:t>
      </w:r>
    </w:p>
    <w:p>
      <w:pPr>
        <w:ind w:firstLine="640" w:firstLineChars="200"/>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一是</w:t>
      </w:r>
      <w:r>
        <w:rPr>
          <w:rFonts w:hint="eastAsia" w:ascii="仿宋" w:hAnsi="仿宋" w:eastAsia="仿宋" w:cs="仿宋"/>
          <w:sz w:val="32"/>
          <w:szCs w:val="32"/>
          <w:lang w:val="en-US" w:eastAsia="zh-CN"/>
        </w:rPr>
        <w:t>体制机制进一步理顺。深入推进机构改革，按照优化协同高效要求，完成了管理局内设机构及职数设置，理清了单位职能职责；灌区水管单位事企分离改革快速推进，都江堰水利产业集团已委托省水发集团管理，待上级部门批复后开展</w:t>
      </w:r>
      <w:r>
        <w:rPr>
          <w:rFonts w:hint="eastAsia" w:ascii="仿宋" w:hAnsi="仿宋" w:eastAsia="仿宋" w:cs="仿宋"/>
          <w:sz w:val="32"/>
          <w:szCs w:val="32"/>
        </w:rPr>
        <w:t>划转、移交工作</w:t>
      </w:r>
      <w:r>
        <w:rPr>
          <w:rFonts w:hint="eastAsia" w:ascii="仿宋" w:hAnsi="仿宋" w:eastAsia="仿宋" w:cs="仿宋"/>
          <w:sz w:val="32"/>
          <w:szCs w:val="32"/>
          <w:lang w:eastAsia="zh-CN"/>
        </w:rPr>
        <w:t>。</w:t>
      </w:r>
      <w:r>
        <w:rPr>
          <w:rFonts w:hint="eastAsia" w:ascii="楷体" w:hAnsi="楷体" w:eastAsia="楷体" w:cs="楷体"/>
          <w:b w:val="0"/>
          <w:bCs w:val="0"/>
          <w:sz w:val="32"/>
          <w:szCs w:val="32"/>
          <w:lang w:val="en-US" w:eastAsia="zh-CN"/>
        </w:rPr>
        <w:t>二是</w:t>
      </w:r>
      <w:r>
        <w:rPr>
          <w:rFonts w:hint="eastAsia" w:ascii="仿宋" w:hAnsi="仿宋" w:eastAsia="仿宋" w:cs="仿宋"/>
          <w:sz w:val="32"/>
          <w:szCs w:val="32"/>
          <w:lang w:val="en-US" w:eastAsia="zh-CN"/>
        </w:rPr>
        <w:t>创先争优氛围浓厚。2020年我们结合新形势新任务，设立了供水管理、水政辅助执法和内控建设三个专题活动。通过灌区水管单位“创先争优评比、互学互帮互促”活动的开展，在灌区水管单位间营造了相互评比、比学赶超、相互激励、争当标杆的浓厚氛围，对推动灌区水管单位改革和协同发展起到了积极作用。</w:t>
      </w:r>
      <w:r>
        <w:rPr>
          <w:rFonts w:hint="eastAsia" w:ascii="华文楷体" w:hAnsi="华文楷体" w:eastAsia="华文楷体" w:cs="华文楷体"/>
          <w:sz w:val="32"/>
          <w:szCs w:val="32"/>
          <w:lang w:val="en-US" w:eastAsia="zh-CN"/>
        </w:rPr>
        <w:t>三是</w:t>
      </w:r>
      <w:r>
        <w:rPr>
          <w:rFonts w:hint="eastAsia" w:ascii="仿宋" w:hAnsi="仿宋" w:eastAsia="仿宋" w:cs="仿宋"/>
          <w:sz w:val="32"/>
          <w:szCs w:val="32"/>
          <w:lang w:val="en-US" w:eastAsia="zh-CN"/>
        </w:rPr>
        <w:t>水生态治理有成效。涉水生态环境损害赔偿在灌区落地开花，2020年3月发生的人民渠水污染事件，成为四川省首例由省级人民政府作为赔偿权利人指定有关部门提出申请的生态环境损害赔偿协议司法确认案件，挽回经济损失33余万元。</w:t>
      </w:r>
      <w:r>
        <w:rPr>
          <w:rFonts w:hint="eastAsia" w:ascii="楷体" w:hAnsi="楷体" w:eastAsia="楷体" w:cs="楷体"/>
          <w:sz w:val="32"/>
          <w:szCs w:val="32"/>
          <w:lang w:val="en-US" w:eastAsia="zh-CN"/>
        </w:rPr>
        <w:t>四是</w:t>
      </w:r>
      <w:r>
        <w:rPr>
          <w:rFonts w:hint="eastAsia" w:ascii="仿宋" w:hAnsi="仿宋" w:eastAsia="仿宋" w:cs="仿宋"/>
          <w:sz w:val="32"/>
          <w:szCs w:val="32"/>
          <w:lang w:val="en-US" w:eastAsia="zh-CN"/>
        </w:rPr>
        <w:t>全力打好疫情防控阻击战。面对突如其来的新冠肺炎疫情，管理局沉着应对，第一时间成立疫情防控机构，落实责任，明确分工，确保上级各项决策部署执行到位，把各项防控措施抓实抓细抓落地，确保了单位的正常运转，保障了灌区用水安全。</w:t>
      </w:r>
    </w:p>
    <w:p>
      <w:pPr>
        <w:rPr>
          <w:rFonts w:hint="eastAsia"/>
          <w:lang w:eastAsia="zh-CN"/>
        </w:rPr>
      </w:pPr>
    </w:p>
    <w:p>
      <w:pPr>
        <w:widowControl/>
        <w:jc w:val="left"/>
        <w:rPr>
          <w:rFonts w:ascii="仿宋" w:hAnsi="仿宋" w:eastAsia="仿宋"/>
          <w:color w:val="000000"/>
          <w:kern w:val="0"/>
          <w:sz w:val="32"/>
          <w:szCs w:val="32"/>
        </w:rPr>
      </w:pPr>
      <w:r>
        <w:rPr>
          <w:rFonts w:ascii="仿宋" w:hAnsi="仿宋" w:eastAsia="仿宋"/>
          <w:color w:val="000000"/>
          <w:sz w:val="32"/>
          <w:szCs w:val="32"/>
        </w:rPr>
        <w:br w:type="page"/>
      </w:r>
    </w:p>
    <w:p>
      <w:pPr>
        <w:pStyle w:val="3"/>
        <w:pageBreakBefore w:val="0"/>
        <w:widowControl w:val="0"/>
        <w:kinsoku/>
        <w:wordWrap/>
        <w:overflowPunct/>
        <w:topLinePunct w:val="0"/>
        <w:autoSpaceDE/>
        <w:autoSpaceDN/>
        <w:bidi w:val="0"/>
        <w:adjustRightInd/>
        <w:snapToGrid/>
        <w:ind w:right="440"/>
        <w:jc w:val="right"/>
        <w:textAlignment w:val="auto"/>
        <w:rPr>
          <w:rStyle w:val="25"/>
          <w:rFonts w:ascii="黑体" w:hAnsi="黑体" w:eastAsia="黑体"/>
          <w:b w:val="0"/>
          <w:bCs w:val="0"/>
        </w:rPr>
      </w:pPr>
      <w:bookmarkStart w:id="16" w:name="_Toc15377204"/>
      <w:bookmarkStart w:id="17" w:name="_Toc15396602"/>
      <w:r>
        <w:rPr>
          <w:rFonts w:hint="eastAsia" w:ascii="黑体" w:hAnsi="黑体" w:eastAsia="黑体"/>
          <w:b w:val="0"/>
          <w:color w:val="000000"/>
        </w:rPr>
        <w:t>第二部分</w:t>
      </w:r>
      <w:r>
        <w:rPr>
          <w:rFonts w:hint="eastAsia" w:ascii="黑体" w:hAnsi="黑体" w:eastAsia="黑体"/>
          <w:color w:val="000000"/>
        </w:rPr>
        <w:t xml:space="preserve"> </w:t>
      </w:r>
      <w:r>
        <w:rPr>
          <w:rStyle w:val="25"/>
          <w:rFonts w:hint="eastAsia" w:ascii="黑体" w:hAnsi="黑体" w:eastAsia="黑体"/>
          <w:b w:val="0"/>
          <w:bCs w:val="0"/>
        </w:rPr>
        <w:t>20</w:t>
      </w:r>
      <w:r>
        <w:rPr>
          <w:rStyle w:val="25"/>
          <w:rFonts w:hint="eastAsia" w:ascii="黑体" w:hAnsi="黑体" w:eastAsia="黑体"/>
          <w:b w:val="0"/>
          <w:bCs w:val="0"/>
          <w:lang w:val="en-US" w:eastAsia="zh-CN"/>
        </w:rPr>
        <w:t>20</w:t>
      </w:r>
      <w:r>
        <w:rPr>
          <w:rStyle w:val="25"/>
          <w:rFonts w:hint="eastAsia" w:ascii="黑体" w:hAnsi="黑体" w:eastAsia="黑体"/>
          <w:b w:val="0"/>
          <w:bCs w:val="0"/>
        </w:rPr>
        <w:t>年度</w:t>
      </w:r>
      <w:r>
        <w:rPr>
          <w:rStyle w:val="25"/>
          <w:rFonts w:hint="eastAsia" w:ascii="黑体" w:hAnsi="黑体" w:eastAsia="黑体"/>
          <w:b w:val="0"/>
          <w:bCs w:val="0"/>
          <w:lang w:val="en-US" w:eastAsia="zh-CN"/>
        </w:rPr>
        <w:t>单位</w:t>
      </w:r>
      <w:r>
        <w:rPr>
          <w:rStyle w:val="25"/>
          <w:rFonts w:hint="eastAsia" w:ascii="黑体" w:hAnsi="黑体" w:eastAsia="黑体"/>
          <w:b w:val="0"/>
          <w:bCs w:val="0"/>
        </w:rPr>
        <w:t>决算情况说明</w:t>
      </w:r>
      <w:bookmarkEnd w:id="16"/>
      <w:bookmarkEnd w:id="17"/>
    </w:p>
    <w:p/>
    <w:p>
      <w:pPr>
        <w:pStyle w:val="24"/>
        <w:pageBreakBefore w:val="0"/>
        <w:widowControl w:val="0"/>
        <w:numPr>
          <w:ilvl w:val="0"/>
          <w:numId w:val="2"/>
        </w:numPr>
        <w:kinsoku/>
        <w:wordWrap/>
        <w:overflowPunct/>
        <w:topLinePunct w:val="0"/>
        <w:autoSpaceDE/>
        <w:autoSpaceDN/>
        <w:bidi w:val="0"/>
        <w:adjustRightInd/>
        <w:snapToGrid/>
        <w:spacing w:line="600" w:lineRule="exact"/>
        <w:ind w:firstLineChars="0"/>
        <w:textAlignment w:val="auto"/>
        <w:outlineLvl w:val="1"/>
        <w:rPr>
          <w:rStyle w:val="26"/>
          <w:rFonts w:ascii="黑体" w:hAnsi="黑体" w:eastAsia="黑体"/>
          <w:b w:val="0"/>
        </w:rPr>
      </w:pPr>
      <w:bookmarkStart w:id="18" w:name="_Toc15396603"/>
      <w:bookmarkStart w:id="19" w:name="_Toc15377205"/>
      <w:r>
        <w:rPr>
          <w:rFonts w:hint="eastAsia" w:ascii="黑体" w:hAnsi="黑体" w:eastAsia="黑体"/>
          <w:color w:val="000000"/>
          <w:sz w:val="32"/>
          <w:szCs w:val="32"/>
        </w:rPr>
        <w:t>收</w:t>
      </w:r>
      <w:r>
        <w:rPr>
          <w:rStyle w:val="26"/>
          <w:rFonts w:hint="eastAsia" w:ascii="黑体" w:hAnsi="黑体" w:eastAsia="黑体"/>
          <w:b w:val="0"/>
        </w:rPr>
        <w:t>入支出决算总体情况说明</w:t>
      </w:r>
      <w:bookmarkEnd w:id="18"/>
      <w:bookmarkEnd w:id="19"/>
    </w:p>
    <w:p>
      <w:pPr>
        <w:spacing w:line="600" w:lineRule="exact"/>
        <w:ind w:firstLine="640" w:firstLineChars="200"/>
        <w:rPr>
          <w:rFonts w:hint="eastAsia" w:ascii="仿宋" w:hAnsi="仿宋" w:eastAsia="仿宋"/>
          <w:color w:val="000000"/>
          <w:sz w:val="32"/>
          <w:szCs w:val="32"/>
          <w:lang w:eastAsia="zh-CN"/>
        </w:rPr>
      </w:pPr>
      <w:r>
        <w:rPr>
          <w:rFonts w:hint="eastAsia" w:ascii="仿宋" w:hAnsi="仿宋" w:eastAsia="仿宋"/>
          <w:color w:val="auto"/>
          <w:sz w:val="32"/>
          <w:szCs w:val="32"/>
        </w:rPr>
        <w:t>20</w:t>
      </w:r>
      <w:r>
        <w:rPr>
          <w:rFonts w:hint="eastAsia" w:ascii="仿宋" w:hAnsi="仿宋" w:eastAsia="仿宋"/>
          <w:color w:val="auto"/>
          <w:sz w:val="32"/>
          <w:szCs w:val="32"/>
          <w:lang w:val="en-US" w:eastAsia="zh-CN"/>
        </w:rPr>
        <w:t>20</w:t>
      </w:r>
      <w:r>
        <w:rPr>
          <w:rFonts w:hint="eastAsia" w:ascii="仿宋" w:hAnsi="仿宋" w:eastAsia="仿宋"/>
          <w:color w:val="auto"/>
          <w:sz w:val="32"/>
          <w:szCs w:val="32"/>
        </w:rPr>
        <w:t>年度收、支总计</w:t>
      </w:r>
      <w:r>
        <w:rPr>
          <w:rFonts w:hint="eastAsia" w:ascii="仿宋" w:hAnsi="仿宋" w:eastAsia="仿宋"/>
          <w:color w:val="auto"/>
          <w:sz w:val="32"/>
          <w:szCs w:val="32"/>
          <w:lang w:val="en-US" w:eastAsia="zh-CN"/>
        </w:rPr>
        <w:t>13200.5万元</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与201</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年相比，收、支总计</w:t>
      </w:r>
      <w:r>
        <w:rPr>
          <w:rFonts w:hint="eastAsia" w:ascii="仿宋" w:hAnsi="仿宋" w:eastAsia="仿宋"/>
          <w:color w:val="000000"/>
          <w:sz w:val="32"/>
          <w:szCs w:val="32"/>
          <w:lang w:val="en-US" w:eastAsia="zh-CN"/>
        </w:rPr>
        <w:t>各增加6728.33万元，增长103%。</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w:t>
      </w:r>
    </w:p>
    <w:p>
      <w:pPr>
        <w:spacing w:line="600" w:lineRule="exact"/>
        <w:ind w:firstLine="640" w:firstLineChars="20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收入中，一般公共预算财政拨款收入增加5606.47万元，其他收入增加1121.86万元；</w:t>
      </w:r>
    </w:p>
    <w:p>
      <w:pPr>
        <w:spacing w:line="600" w:lineRule="exact"/>
        <w:ind w:firstLine="640" w:firstLineChars="20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支出中，从功能分类来看，社会保障和就业支出增加922.14万元，卫生健康支出增加166.34万元，农林水支出增加5136.07万元，一般公共服务支出减少11.57万元；从支出性质来看，基本支出中人员经费增加1606.52万元，项目支出增加4606.46万元；从经济分类来看，工资福利支出增加1182.46万元，商品服务支出减少1858.59万元，对个人和家庭的补助增加436.06万元，资本性支出（基本建设）增加5981.38万元，资本性支出471.67万元；</w:t>
      </w:r>
    </w:p>
    <w:p>
      <w:pPr>
        <w:spacing w:line="600" w:lineRule="exact"/>
        <w:ind w:firstLine="640" w:firstLineChars="200"/>
        <w:rPr>
          <w:rFonts w:hint="default"/>
          <w:lang w:val="en-US" w:eastAsia="zh-CN"/>
        </w:rPr>
      </w:pPr>
      <w:r>
        <w:rPr>
          <w:rFonts w:hint="eastAsia" w:ascii="仿宋" w:hAnsi="仿宋" w:eastAsia="仿宋"/>
          <w:color w:val="000000"/>
          <w:sz w:val="32"/>
          <w:szCs w:val="32"/>
          <w:lang w:val="en-US" w:eastAsia="zh-CN"/>
        </w:rPr>
        <w:t>年末结转和结余515.35万元，其中：水利工程运行与维护支出418.88万元，其他商品和服务支出96.47万元。</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sz w:val="32"/>
          <w:szCs w:val="32"/>
          <w:lang w:eastAsia="zh-CN"/>
        </w:rPr>
        <w:drawing>
          <wp:anchor distT="0" distB="0" distL="114300" distR="114300" simplePos="0" relativeHeight="251663360" behindDoc="0" locked="0" layoutInCell="1" allowOverlap="1">
            <wp:simplePos x="0" y="0"/>
            <wp:positionH relativeFrom="column">
              <wp:posOffset>516890</wp:posOffset>
            </wp:positionH>
            <wp:positionV relativeFrom="paragraph">
              <wp:posOffset>177165</wp:posOffset>
            </wp:positionV>
            <wp:extent cx="4015105" cy="2044700"/>
            <wp:effectExtent l="4445" t="4445" r="19050" b="8255"/>
            <wp:wrapTopAndBottom/>
            <wp:docPr id="6" name="图表 6" descr="7b0a202020202263686172745265734964223a2022343632353833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600" w:lineRule="exact"/>
        <w:ind w:firstLine="640" w:firstLineChars="200"/>
        <w:jc w:val="left"/>
        <w:rPr>
          <w:rFonts w:ascii="仿宋_GB2312" w:eastAsia="仿宋_GB2312"/>
          <w:color w:val="000000"/>
          <w:sz w:val="32"/>
          <w:szCs w:val="32"/>
        </w:rPr>
      </w:pPr>
    </w:p>
    <w:p>
      <w:pPr>
        <w:pStyle w:val="24"/>
        <w:pageBreakBefore w:val="0"/>
        <w:widowControl w:val="0"/>
        <w:numPr>
          <w:ilvl w:val="0"/>
          <w:numId w:val="2"/>
        </w:numPr>
        <w:kinsoku/>
        <w:wordWrap/>
        <w:overflowPunct/>
        <w:topLinePunct w:val="0"/>
        <w:autoSpaceDE/>
        <w:autoSpaceDN/>
        <w:bidi w:val="0"/>
        <w:adjustRightInd/>
        <w:snapToGrid/>
        <w:spacing w:line="600" w:lineRule="exact"/>
        <w:ind w:firstLineChars="0"/>
        <w:textAlignment w:val="auto"/>
        <w:outlineLvl w:val="1"/>
        <w:rPr>
          <w:rStyle w:val="26"/>
          <w:rFonts w:ascii="黑体" w:hAnsi="黑体" w:eastAsia="黑体"/>
          <w:b w:val="0"/>
        </w:rPr>
      </w:pPr>
      <w:bookmarkStart w:id="20" w:name="_Toc15396604"/>
      <w:bookmarkStart w:id="21" w:name="_Toc15377206"/>
      <w:r>
        <w:rPr>
          <w:rFonts w:hint="eastAsia" w:ascii="黑体" w:hAnsi="黑体" w:eastAsia="黑体"/>
          <w:color w:val="000000"/>
          <w:sz w:val="32"/>
          <w:szCs w:val="32"/>
        </w:rPr>
        <w:t>收</w:t>
      </w:r>
      <w:r>
        <w:rPr>
          <w:rStyle w:val="26"/>
          <w:rFonts w:hint="eastAsia" w:ascii="黑体" w:hAnsi="黑体" w:eastAsia="黑体"/>
          <w:b w:val="0"/>
        </w:rPr>
        <w:t>入决算情况说明</w:t>
      </w:r>
      <w:bookmarkEnd w:id="20"/>
      <w:bookmarkEnd w:id="21"/>
    </w:p>
    <w:p>
      <w:pPr>
        <w:spacing w:line="600" w:lineRule="exact"/>
        <w:ind w:firstLine="640" w:firstLineChars="200"/>
        <w:outlineLvl w:val="1"/>
        <w:rPr>
          <w:rFonts w:hint="eastAsia"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年本年收入合计</w:t>
      </w:r>
      <w:r>
        <w:rPr>
          <w:rFonts w:hint="eastAsia" w:ascii="仿宋" w:hAnsi="仿宋" w:eastAsia="仿宋"/>
          <w:color w:val="000000"/>
          <w:sz w:val="32"/>
          <w:szCs w:val="32"/>
          <w:lang w:val="en-US" w:eastAsia="zh-CN"/>
        </w:rPr>
        <w:t>13200.50</w:t>
      </w:r>
      <w:r>
        <w:rPr>
          <w:rFonts w:hint="eastAsia" w:ascii="仿宋" w:hAnsi="仿宋" w:eastAsia="仿宋"/>
          <w:color w:val="000000"/>
          <w:sz w:val="32"/>
          <w:szCs w:val="32"/>
        </w:rPr>
        <w:t>万元，其中：一般公共预算财政拨款收入</w:t>
      </w:r>
      <w:r>
        <w:rPr>
          <w:rFonts w:hint="eastAsia" w:ascii="仿宋" w:hAnsi="仿宋" w:eastAsia="仿宋"/>
          <w:color w:val="000000"/>
          <w:sz w:val="32"/>
          <w:szCs w:val="32"/>
          <w:lang w:val="en-US" w:eastAsia="zh-CN"/>
        </w:rPr>
        <w:t>10487.29</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79</w:t>
      </w:r>
      <w:r>
        <w:rPr>
          <w:rFonts w:ascii="仿宋" w:hAnsi="仿宋" w:eastAsia="仿宋"/>
          <w:color w:val="000000"/>
          <w:sz w:val="32"/>
          <w:szCs w:val="32"/>
        </w:rPr>
        <w:t>%</w:t>
      </w:r>
      <w:r>
        <w:rPr>
          <w:rFonts w:hint="eastAsia" w:ascii="仿宋" w:hAnsi="仿宋" w:eastAsia="仿宋"/>
          <w:color w:val="000000"/>
          <w:sz w:val="32"/>
          <w:szCs w:val="32"/>
        </w:rPr>
        <w:t>；其他收入</w:t>
      </w:r>
      <w:r>
        <w:rPr>
          <w:rFonts w:hint="eastAsia" w:ascii="仿宋" w:hAnsi="仿宋" w:eastAsia="仿宋"/>
          <w:color w:val="000000"/>
          <w:sz w:val="32"/>
          <w:szCs w:val="32"/>
          <w:lang w:val="en-US" w:eastAsia="zh-CN"/>
        </w:rPr>
        <w:t>2713.21</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21</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firstLineChars="200"/>
        <w:outlineLvl w:val="1"/>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anchor distT="0" distB="0" distL="114300" distR="114300" simplePos="0" relativeHeight="251660288" behindDoc="0" locked="0" layoutInCell="1" allowOverlap="1">
            <wp:simplePos x="0" y="0"/>
            <wp:positionH relativeFrom="column">
              <wp:posOffset>387985</wp:posOffset>
            </wp:positionH>
            <wp:positionV relativeFrom="paragraph">
              <wp:posOffset>133350</wp:posOffset>
            </wp:positionV>
            <wp:extent cx="4135120" cy="2240915"/>
            <wp:effectExtent l="4445" t="4445" r="5715" b="10160"/>
            <wp:wrapTopAndBottom/>
            <wp:docPr id="1" name="图表 1" descr="7b0a202020202263686172745265734964223a20223837333737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line="600" w:lineRule="exact"/>
        <w:ind w:firstLine="640" w:firstLineChars="200"/>
        <w:outlineLvl w:val="1"/>
        <w:rPr>
          <w:rFonts w:ascii="仿宋_GB2312" w:eastAsia="仿宋_GB2312"/>
          <w:color w:val="FF0000"/>
          <w:sz w:val="32"/>
          <w:szCs w:val="32"/>
        </w:rPr>
      </w:pPr>
    </w:p>
    <w:p>
      <w:pPr>
        <w:pStyle w:val="24"/>
        <w:pageBreakBefore w:val="0"/>
        <w:widowControl w:val="0"/>
        <w:numPr>
          <w:ilvl w:val="0"/>
          <w:numId w:val="2"/>
        </w:numPr>
        <w:kinsoku/>
        <w:wordWrap/>
        <w:overflowPunct/>
        <w:topLinePunct w:val="0"/>
        <w:autoSpaceDE/>
        <w:autoSpaceDN/>
        <w:bidi w:val="0"/>
        <w:adjustRightInd/>
        <w:snapToGrid/>
        <w:spacing w:line="600" w:lineRule="exact"/>
        <w:ind w:firstLineChars="0"/>
        <w:textAlignment w:val="auto"/>
        <w:outlineLvl w:val="1"/>
        <w:rPr>
          <w:rStyle w:val="26"/>
          <w:rFonts w:ascii="黑体" w:hAnsi="黑体" w:eastAsia="黑体"/>
          <w:b w:val="0"/>
        </w:rPr>
      </w:pPr>
      <w:bookmarkStart w:id="22" w:name="_Toc15377207"/>
      <w:bookmarkStart w:id="23" w:name="_Toc15396605"/>
      <w:r>
        <w:rPr>
          <w:rFonts w:hint="eastAsia" w:ascii="黑体" w:hAnsi="黑体" w:eastAsia="黑体"/>
          <w:color w:val="000000"/>
          <w:sz w:val="32"/>
          <w:szCs w:val="32"/>
        </w:rPr>
        <w:t>支</w:t>
      </w:r>
      <w:r>
        <w:rPr>
          <w:rStyle w:val="26"/>
          <w:rFonts w:hint="eastAsia" w:ascii="黑体" w:hAnsi="黑体" w:eastAsia="黑体"/>
          <w:b w:val="0"/>
        </w:rPr>
        <w:t>出决算情况说明</w:t>
      </w:r>
      <w:bookmarkEnd w:id="22"/>
      <w:bookmarkEnd w:id="23"/>
    </w:p>
    <w:p>
      <w:pPr>
        <w:spacing w:line="600" w:lineRule="exact"/>
        <w:ind w:firstLine="640" w:firstLineChars="200"/>
        <w:outlineLvl w:val="1"/>
        <w:rPr>
          <w:rFonts w:hint="eastAsia"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年本年支出合计</w:t>
      </w:r>
      <w:r>
        <w:rPr>
          <w:rFonts w:hint="eastAsia" w:ascii="仿宋" w:hAnsi="仿宋" w:eastAsia="仿宋"/>
          <w:color w:val="000000"/>
          <w:sz w:val="32"/>
          <w:szCs w:val="32"/>
          <w:lang w:val="en-US" w:eastAsia="zh-CN"/>
        </w:rPr>
        <w:t>12685.1</w:t>
      </w:r>
      <w:r>
        <w:rPr>
          <w:rFonts w:hint="eastAsia" w:ascii="仿宋" w:hAnsi="仿宋" w:eastAsia="仿宋"/>
          <w:color w:val="000000"/>
          <w:sz w:val="32"/>
          <w:szCs w:val="32"/>
        </w:rPr>
        <w:t>万元，其中：基本支出</w:t>
      </w:r>
      <w:r>
        <w:rPr>
          <w:rFonts w:hint="eastAsia" w:ascii="仿宋" w:hAnsi="仿宋" w:eastAsia="仿宋"/>
          <w:color w:val="000000"/>
          <w:sz w:val="32"/>
          <w:szCs w:val="32"/>
          <w:lang w:val="en-US" w:eastAsia="zh-CN"/>
        </w:rPr>
        <w:t>3005.9</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24</w:t>
      </w:r>
      <w:r>
        <w:rPr>
          <w:rFonts w:ascii="仿宋" w:hAnsi="仿宋" w:eastAsia="仿宋"/>
          <w:color w:val="000000"/>
          <w:sz w:val="32"/>
          <w:szCs w:val="32"/>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9679.2</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76</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firstLineChars="200"/>
        <w:outlineLvl w:val="1"/>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anchor distT="0" distB="0" distL="114300" distR="114300" simplePos="0" relativeHeight="251661312" behindDoc="0" locked="0" layoutInCell="1" allowOverlap="1">
            <wp:simplePos x="0" y="0"/>
            <wp:positionH relativeFrom="column">
              <wp:posOffset>463550</wp:posOffset>
            </wp:positionH>
            <wp:positionV relativeFrom="paragraph">
              <wp:posOffset>429895</wp:posOffset>
            </wp:positionV>
            <wp:extent cx="4013835" cy="2028190"/>
            <wp:effectExtent l="4445" t="4445" r="5080" b="9525"/>
            <wp:wrapTopAndBottom/>
            <wp:docPr id="2" name="图表 2" descr="7b0a202020202263686172745265734964223a20223837333737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0" w:firstLineChars="200"/>
        <w:outlineLvl w:val="1"/>
        <w:rPr>
          <w:rFonts w:ascii="仿宋_GB2312" w:eastAsia="仿宋_GB2312"/>
          <w:color w:val="FF0000"/>
          <w:sz w:val="32"/>
          <w:szCs w:val="32"/>
        </w:rPr>
      </w:pPr>
    </w:p>
    <w:p>
      <w:pPr>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Style w:val="26"/>
          <w:rFonts w:ascii="黑体" w:hAnsi="黑体" w:eastAsia="黑体"/>
          <w:b w:val="0"/>
        </w:rPr>
      </w:pPr>
      <w:bookmarkStart w:id="24" w:name="_Toc15396606"/>
      <w:bookmarkStart w:id="25" w:name="_Toc15377208"/>
      <w:r>
        <w:rPr>
          <w:rFonts w:hint="eastAsia" w:ascii="黑体" w:hAnsi="黑体" w:eastAsia="黑体"/>
          <w:color w:val="000000"/>
          <w:sz w:val="32"/>
          <w:szCs w:val="32"/>
        </w:rPr>
        <w:t>四、财</w:t>
      </w:r>
      <w:r>
        <w:rPr>
          <w:rStyle w:val="26"/>
          <w:rFonts w:hint="eastAsia" w:ascii="黑体" w:hAnsi="黑体" w:eastAsia="黑体"/>
          <w:b w:val="0"/>
        </w:rPr>
        <w:t>政拨款收入支出决算总体情况说明</w:t>
      </w:r>
      <w:bookmarkEnd w:id="24"/>
      <w:bookmarkEnd w:id="25"/>
    </w:p>
    <w:p>
      <w:pPr>
        <w:spacing w:line="600" w:lineRule="exact"/>
        <w:ind w:firstLine="640"/>
        <w:rPr>
          <w:rFonts w:hint="eastAsia"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年财政拨款收</w:t>
      </w:r>
      <w:r>
        <w:rPr>
          <w:rFonts w:hint="eastAsia" w:ascii="仿宋" w:hAnsi="仿宋" w:eastAsia="仿宋"/>
          <w:color w:val="000000"/>
          <w:sz w:val="32"/>
          <w:szCs w:val="32"/>
          <w:lang w:val="en-US" w:eastAsia="zh-CN"/>
        </w:rPr>
        <w:t>入总计10487.29万元，财政拨款支出总计10487.29万元</w:t>
      </w:r>
      <w:r>
        <w:rPr>
          <w:rFonts w:hint="eastAsia" w:ascii="仿宋" w:hAnsi="仿宋" w:eastAsia="仿宋"/>
          <w:color w:val="000000"/>
          <w:sz w:val="32"/>
          <w:szCs w:val="32"/>
        </w:rPr>
        <w:t>。与</w:t>
      </w:r>
      <w:r>
        <w:rPr>
          <w:rFonts w:ascii="仿宋" w:hAnsi="仿宋" w:eastAsia="仿宋"/>
          <w:color w:val="000000"/>
          <w:sz w:val="32"/>
          <w:szCs w:val="32"/>
        </w:rPr>
        <w:t>201</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年相比，财政拨款收、支总计各增加</w:t>
      </w:r>
      <w:r>
        <w:rPr>
          <w:rFonts w:hint="eastAsia" w:ascii="仿宋" w:hAnsi="仿宋" w:eastAsia="仿宋"/>
          <w:color w:val="000000"/>
          <w:sz w:val="32"/>
          <w:szCs w:val="32"/>
          <w:lang w:val="en-US" w:eastAsia="zh-CN"/>
        </w:rPr>
        <w:t>5606.47</w:t>
      </w:r>
      <w:r>
        <w:rPr>
          <w:rFonts w:hint="eastAsia" w:ascii="仿宋" w:hAnsi="仿宋" w:eastAsia="仿宋"/>
          <w:color w:val="000000"/>
          <w:sz w:val="32"/>
          <w:szCs w:val="32"/>
        </w:rPr>
        <w:t>万元，增长</w:t>
      </w:r>
      <w:r>
        <w:rPr>
          <w:rFonts w:hint="eastAsia" w:ascii="仿宋" w:hAnsi="仿宋" w:eastAsia="仿宋"/>
          <w:color w:val="000000"/>
          <w:sz w:val="32"/>
          <w:szCs w:val="32"/>
          <w:lang w:val="en-US" w:eastAsia="zh-CN"/>
        </w:rPr>
        <w:t>114.8</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财政拨款收入10487.29万元，</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一般公共预算财政拨款增加5606.47万元；</w:t>
      </w:r>
    </w:p>
    <w:p>
      <w:pPr>
        <w:spacing w:line="600" w:lineRule="exact"/>
        <w:ind w:firstLine="640"/>
        <w:rPr>
          <w:rFonts w:hint="default" w:ascii="仿宋" w:hAnsi="仿宋" w:eastAsia="仿宋"/>
          <w:color w:val="000000"/>
          <w:sz w:val="32"/>
          <w:szCs w:val="32"/>
          <w:lang w:val="en-US" w:eastAsia="zh-CN"/>
        </w:rPr>
      </w:pPr>
      <w:r>
        <w:rPr>
          <w:rFonts w:hint="eastAsia" w:ascii="仿宋" w:hAnsi="仿宋" w:eastAsia="仿宋"/>
          <w:color w:val="000000"/>
          <w:sz w:val="32"/>
          <w:szCs w:val="32"/>
          <w:lang w:val="en-US" w:eastAsia="zh-CN"/>
        </w:rPr>
        <w:t xml:space="preserve">财政拨款支出10487.29万元，主要变动原因：从功能分类来看，社会保障和就业支出增加2051.72万元，卫生健康支出增加361.90万元，农林水支出增加3204.42万元，一般公共服务支出减少11.57万元。从支出性质来看，基本支出中人员经费增加2974.20万元，项目支出增加2632.27万元。从经济分类支出来看，工资福利支出增加2538.15万元，商品和服务支出减少3349.10万元，对个人和家庭的补助增加436.05万元，资本性支出（基本建设）减少5981.37万元。 </w:t>
      </w:r>
    </w:p>
    <w:p>
      <w:pPr>
        <w:spacing w:line="600" w:lineRule="exact"/>
        <w:ind w:firstLine="640"/>
        <w:rPr>
          <w:rFonts w:ascii="仿宋" w:hAnsi="仿宋" w:eastAsia="仿宋"/>
          <w:b/>
          <w:color w:val="FF0000"/>
          <w:sz w:val="32"/>
          <w:szCs w:val="32"/>
        </w:rPr>
      </w:pPr>
    </w:p>
    <w:p>
      <w:pPr>
        <w:spacing w:line="600" w:lineRule="exact"/>
        <w:rPr>
          <w:rFonts w:hint="eastAsia" w:ascii="黑体" w:hAnsi="黑体" w:eastAsia="黑体"/>
          <w:color w:val="000000"/>
          <w:sz w:val="32"/>
          <w:szCs w:val="32"/>
        </w:rPr>
      </w:pPr>
      <w:r>
        <w:rPr>
          <w:rFonts w:hint="eastAsia" w:ascii="仿宋" w:hAnsi="仿宋" w:eastAsia="仿宋"/>
          <w:color w:val="000000"/>
          <w:sz w:val="32"/>
          <w:szCs w:val="32"/>
          <w:lang w:eastAsia="zh-CN"/>
        </w:rPr>
        <w:drawing>
          <wp:anchor distT="0" distB="0" distL="114300" distR="114300" simplePos="0" relativeHeight="251664384" behindDoc="0" locked="0" layoutInCell="1" allowOverlap="1">
            <wp:simplePos x="0" y="0"/>
            <wp:positionH relativeFrom="column">
              <wp:posOffset>492125</wp:posOffset>
            </wp:positionH>
            <wp:positionV relativeFrom="paragraph">
              <wp:posOffset>41910</wp:posOffset>
            </wp:positionV>
            <wp:extent cx="3891915" cy="2736850"/>
            <wp:effectExtent l="4445" t="4445" r="5080" b="17145"/>
            <wp:wrapTopAndBottom/>
            <wp:docPr id="7" name="图表 7" descr="7b0a202020202263686172745265734964223a2022343632353833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bookmarkStart w:id="26" w:name="_Toc15396607"/>
      <w:bookmarkStart w:id="27" w:name="_Toc15377209"/>
    </w:p>
    <w:p>
      <w:pPr>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Style w:val="26"/>
          <w:rFonts w:ascii="黑体" w:hAnsi="黑体" w:eastAsia="黑体"/>
          <w:b w:val="0"/>
        </w:rPr>
      </w:pPr>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26"/>
          <w:rFonts w:hint="eastAsia" w:ascii="黑体" w:hAnsi="黑体" w:eastAsia="黑体"/>
          <w:b w:val="0"/>
        </w:rPr>
        <w:t>般公共预算财政拨款支出决算情况说明</w:t>
      </w:r>
      <w:bookmarkEnd w:id="26"/>
      <w:bookmarkEnd w:id="27"/>
    </w:p>
    <w:p>
      <w:pPr>
        <w:spacing w:line="600" w:lineRule="exact"/>
        <w:ind w:firstLine="643" w:firstLineChars="200"/>
        <w:outlineLvl w:val="2"/>
        <w:rPr>
          <w:rFonts w:ascii="仿宋" w:hAnsi="仿宋" w:eastAsia="仿宋"/>
          <w:b/>
          <w:color w:val="000000" w:themeColor="text1"/>
          <w:sz w:val="32"/>
          <w:szCs w:val="32"/>
          <w14:textFill>
            <w14:solidFill>
              <w14:schemeClr w14:val="tx1"/>
            </w14:solidFill>
          </w14:textFill>
        </w:rPr>
      </w:pPr>
      <w:bookmarkStart w:id="28" w:name="_Toc15377210"/>
      <w:r>
        <w:rPr>
          <w:rFonts w:hint="eastAsia" w:ascii="仿宋" w:hAnsi="仿宋" w:eastAsia="仿宋"/>
          <w:b/>
          <w:color w:val="000000" w:themeColor="text1"/>
          <w:sz w:val="32"/>
          <w:szCs w:val="32"/>
          <w14:textFill>
            <w14:solidFill>
              <w14:schemeClr w14:val="tx1"/>
            </w14:solidFill>
          </w14:textFill>
        </w:rPr>
        <w:t>（一）一般公共预算财政拨款支出决算总体情况</w:t>
      </w:r>
      <w:bookmarkEnd w:id="28"/>
    </w:p>
    <w:p>
      <w:pPr>
        <w:spacing w:line="600" w:lineRule="exact"/>
        <w:ind w:firstLine="640" w:firstLineChars="200"/>
        <w:rPr>
          <w:rFonts w:hint="eastAsia" w:ascii="仿宋" w:hAnsi="仿宋" w:eastAsia="仿宋"/>
          <w:color w:val="000000"/>
          <w:sz w:val="32"/>
          <w:szCs w:val="32"/>
          <w:lang w:val="en-US" w:eastAsia="zh-CN"/>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年一般公共预算财政拨款支出</w:t>
      </w:r>
      <w:r>
        <w:rPr>
          <w:rFonts w:hint="eastAsia" w:ascii="仿宋" w:hAnsi="仿宋" w:eastAsia="仿宋"/>
          <w:color w:val="000000"/>
          <w:sz w:val="32"/>
          <w:szCs w:val="32"/>
          <w:lang w:val="en-US" w:eastAsia="zh-CN"/>
        </w:rPr>
        <w:t>10487.29</w:t>
      </w:r>
      <w:r>
        <w:rPr>
          <w:rFonts w:hint="eastAsia" w:ascii="仿宋" w:hAnsi="仿宋" w:eastAsia="仿宋"/>
          <w:color w:val="000000"/>
          <w:sz w:val="32"/>
          <w:szCs w:val="32"/>
        </w:rPr>
        <w:t>万元，占本年支出合计的</w:t>
      </w:r>
      <w:r>
        <w:rPr>
          <w:rFonts w:hint="eastAsia" w:ascii="仿宋" w:hAnsi="仿宋" w:eastAsia="仿宋"/>
          <w:color w:val="000000"/>
          <w:sz w:val="32"/>
          <w:szCs w:val="32"/>
          <w:lang w:val="en-US" w:eastAsia="zh-CN"/>
        </w:rPr>
        <w:t>82.67</w:t>
      </w:r>
      <w:r>
        <w:rPr>
          <w:rFonts w:ascii="仿宋" w:hAnsi="仿宋" w:eastAsia="仿宋"/>
          <w:color w:val="000000"/>
          <w:sz w:val="32"/>
          <w:szCs w:val="32"/>
        </w:rPr>
        <w:t>%</w:t>
      </w:r>
      <w:r>
        <w:rPr>
          <w:rFonts w:hint="eastAsia" w:ascii="仿宋" w:hAnsi="仿宋" w:eastAsia="仿宋"/>
          <w:color w:val="000000"/>
          <w:sz w:val="32"/>
          <w:szCs w:val="32"/>
        </w:rPr>
        <w:t>。与</w:t>
      </w:r>
      <w:r>
        <w:rPr>
          <w:rFonts w:ascii="仿宋" w:hAnsi="仿宋" w:eastAsia="仿宋"/>
          <w:color w:val="000000"/>
          <w:sz w:val="32"/>
          <w:szCs w:val="32"/>
        </w:rPr>
        <w:t>201</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年相比，一般公共预算财政拨款增加</w:t>
      </w:r>
      <w:r>
        <w:rPr>
          <w:rFonts w:hint="eastAsia" w:ascii="仿宋" w:hAnsi="仿宋" w:eastAsia="仿宋"/>
          <w:color w:val="000000"/>
          <w:sz w:val="32"/>
          <w:szCs w:val="32"/>
          <w:lang w:val="en-US" w:eastAsia="zh-CN"/>
        </w:rPr>
        <w:t>5606.47</w:t>
      </w:r>
      <w:r>
        <w:rPr>
          <w:rFonts w:hint="eastAsia" w:ascii="仿宋" w:hAnsi="仿宋" w:eastAsia="仿宋"/>
          <w:color w:val="000000"/>
          <w:sz w:val="32"/>
          <w:szCs w:val="32"/>
        </w:rPr>
        <w:t>万元，增长</w:t>
      </w:r>
      <w:r>
        <w:rPr>
          <w:rFonts w:hint="eastAsia" w:ascii="仿宋" w:hAnsi="仿宋" w:eastAsia="仿宋"/>
          <w:color w:val="000000"/>
          <w:sz w:val="32"/>
          <w:szCs w:val="32"/>
          <w:lang w:val="en-US" w:eastAsia="zh-CN"/>
        </w:rPr>
        <w:t>114</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从功能分类来看，社会保障和就业支出增长2051.72万元，卫生健康支出增长361.90万元，农林水支出增长3204.42万元，一般公共服务支出减少11.57万元；按支出性质来看，基本支出中人员经费增长2974.21万元，项目支出增长2632.26万元；从经济分类来看，工资福利支出增长2538.15万元，商品和服务支出减少3349.1万元，对个人和家庭的</w:t>
      </w:r>
      <w:r>
        <w:rPr>
          <w:rFonts w:hint="eastAsia" w:ascii="仿宋" w:hAnsi="仿宋" w:eastAsia="仿宋"/>
          <w:color w:val="000000" w:themeColor="text1"/>
          <w:sz w:val="32"/>
          <w:szCs w:val="32"/>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675005</wp:posOffset>
            </wp:positionH>
            <wp:positionV relativeFrom="paragraph">
              <wp:posOffset>1193165</wp:posOffset>
            </wp:positionV>
            <wp:extent cx="3830320" cy="2552700"/>
            <wp:effectExtent l="4445" t="4445" r="5715" b="18415"/>
            <wp:wrapTopAndBottom/>
            <wp:docPr id="4" name="图表 4" descr="7b0a202020202263686172745265734964223a2022343632353833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仿宋" w:hAnsi="仿宋" w:eastAsia="仿宋"/>
          <w:color w:val="000000"/>
          <w:sz w:val="32"/>
          <w:szCs w:val="32"/>
          <w:lang w:val="en-US" w:eastAsia="zh-CN"/>
        </w:rPr>
        <w:t>补助增长436.05万元，资本性支出（基本建设）增长5981.37万元。</w:t>
      </w:r>
    </w:p>
    <w:p>
      <w:pPr>
        <w:pStyle w:val="2"/>
        <w:rPr>
          <w:rFonts w:hint="default"/>
          <w:lang w:val="en-US" w:eastAsia="zh-CN"/>
        </w:rPr>
      </w:pPr>
    </w:p>
    <w:p>
      <w:pPr>
        <w:spacing w:line="600" w:lineRule="exact"/>
        <w:ind w:firstLine="643" w:firstLineChars="200"/>
        <w:outlineLvl w:val="2"/>
        <w:rPr>
          <w:rFonts w:ascii="仿宋" w:hAnsi="仿宋" w:eastAsia="仿宋"/>
          <w:b/>
          <w:color w:val="000000"/>
          <w:sz w:val="32"/>
          <w:szCs w:val="32"/>
        </w:rPr>
      </w:pPr>
      <w:bookmarkStart w:id="29" w:name="_Toc15377211"/>
      <w:r>
        <w:rPr>
          <w:rFonts w:hint="eastAsia" w:ascii="仿宋" w:hAnsi="仿宋" w:eastAsia="仿宋"/>
          <w:b/>
          <w:color w:val="000000"/>
          <w:sz w:val="32"/>
          <w:szCs w:val="32"/>
        </w:rPr>
        <w:t>（二）一般公共预算财政拨款支出决算结构情况</w:t>
      </w:r>
      <w:bookmarkEnd w:id="29"/>
    </w:p>
    <w:p>
      <w:pPr>
        <w:spacing w:line="600" w:lineRule="exact"/>
        <w:ind w:firstLine="640"/>
        <w:rPr>
          <w:rFonts w:ascii="仿宋" w:hAnsi="仿宋" w:eastAsia="仿宋"/>
          <w:color w:val="000000"/>
          <w:sz w:val="32"/>
          <w:szCs w:val="32"/>
        </w:rPr>
      </w:pPr>
      <w:r>
        <w:rPr>
          <w:rFonts w:hint="eastAsia" w:ascii="仿宋" w:hAnsi="仿宋" w:eastAsia="仿宋"/>
          <w:b/>
          <w:color w:val="000000" w:themeColor="text1"/>
          <w:sz w:val="32"/>
          <w:szCs w:val="32"/>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934720</wp:posOffset>
            </wp:positionH>
            <wp:positionV relativeFrom="paragraph">
              <wp:posOffset>1539875</wp:posOffset>
            </wp:positionV>
            <wp:extent cx="3716020" cy="2367915"/>
            <wp:effectExtent l="4445" t="4445" r="13335" b="5080"/>
            <wp:wrapTopAndBottom/>
            <wp:docPr id="5" name="图表 5" descr="7b0a202020202263686172745265734964223a20223837333737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年一般公共预算财</w:t>
      </w:r>
      <w:r>
        <w:rPr>
          <w:rFonts w:hint="eastAsia" w:ascii="仿宋" w:hAnsi="仿宋" w:eastAsia="仿宋"/>
          <w:color w:val="000000" w:themeColor="text1"/>
          <w:sz w:val="32"/>
          <w:szCs w:val="32"/>
          <w14:textFill>
            <w14:solidFill>
              <w14:schemeClr w14:val="tx1"/>
            </w14:solidFill>
          </w14:textFill>
        </w:rPr>
        <w:t>政拨款支出</w:t>
      </w:r>
      <w:r>
        <w:rPr>
          <w:rFonts w:hint="eastAsia" w:ascii="仿宋" w:hAnsi="仿宋" w:eastAsia="仿宋"/>
          <w:color w:val="000000"/>
          <w:sz w:val="32"/>
          <w:szCs w:val="32"/>
          <w:lang w:val="en-US" w:eastAsia="zh-CN"/>
        </w:rPr>
        <w:t>10487.29</w:t>
      </w:r>
      <w:r>
        <w:rPr>
          <w:rFonts w:hint="eastAsia" w:ascii="仿宋" w:hAnsi="仿宋" w:eastAsia="仿宋"/>
          <w:color w:val="000000" w:themeColor="text1"/>
          <w:sz w:val="32"/>
          <w:szCs w:val="32"/>
          <w14:textFill>
            <w14:solidFill>
              <w14:schemeClr w14:val="tx1"/>
            </w14:solidFill>
          </w14:textFill>
        </w:rPr>
        <w:t>万元，主要用于以下方面</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val="en-US" w:eastAsia="zh-CN"/>
          <w14:textFill>
            <w14:solidFill>
              <w14:schemeClr w14:val="tx1"/>
            </w14:solidFill>
          </w14:textFill>
        </w:rPr>
        <w:t>社会保障和就业支出2066.53万元，占20</w:t>
      </w:r>
      <w:r>
        <w:rPr>
          <w:rFonts w:hint="eastAsia"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val="en-US" w:eastAsia="zh-CN"/>
          <w14:textFill>
            <w14:solidFill>
              <w14:schemeClr w14:val="tx1"/>
            </w14:solidFill>
          </w14:textFill>
        </w:rPr>
        <w:t>卫生健康支出361.90万元，占3%；农林水支出8058.86万元，占77%；</w:t>
      </w:r>
    </w:p>
    <w:p>
      <w:pPr>
        <w:spacing w:line="600" w:lineRule="exact"/>
        <w:ind w:firstLine="643" w:firstLineChars="200"/>
        <w:outlineLvl w:val="2"/>
        <w:rPr>
          <w:rFonts w:ascii="仿宋" w:hAnsi="仿宋" w:eastAsia="仿宋"/>
          <w:b/>
          <w:color w:val="000000"/>
          <w:sz w:val="32"/>
          <w:szCs w:val="32"/>
        </w:rPr>
      </w:pPr>
      <w:bookmarkStart w:id="30" w:name="_Toc15377212"/>
      <w:r>
        <w:rPr>
          <w:rFonts w:hint="eastAsia" w:ascii="仿宋" w:hAnsi="仿宋" w:eastAsia="仿宋"/>
          <w:b/>
          <w:color w:val="000000"/>
          <w:sz w:val="32"/>
          <w:szCs w:val="32"/>
        </w:rPr>
        <w:t>（三）一般公共预算财政拨款支出决算具体情况</w:t>
      </w:r>
      <w:bookmarkEnd w:id="30"/>
    </w:p>
    <w:p>
      <w:pPr>
        <w:spacing w:line="600" w:lineRule="exact"/>
        <w:ind w:firstLine="643" w:firstLineChars="200"/>
        <w:outlineLvl w:val="2"/>
        <w:rPr>
          <w:rFonts w:ascii="仿宋" w:hAnsi="仿宋" w:eastAsia="仿宋"/>
          <w:color w:val="FF0000"/>
          <w:sz w:val="32"/>
          <w:szCs w:val="32"/>
        </w:rPr>
      </w:pPr>
      <w:bookmarkStart w:id="31" w:name="_Toc15377444"/>
      <w:bookmarkStart w:id="32" w:name="_Toc15378460"/>
      <w:bookmarkStart w:id="33" w:name="_Toc15377213"/>
      <w:r>
        <w:rPr>
          <w:rFonts w:hint="eastAsia" w:ascii="仿宋" w:hAnsi="仿宋" w:eastAsia="仿宋"/>
          <w:b/>
          <w:color w:val="000000" w:themeColor="text1"/>
          <w:sz w:val="32"/>
          <w:szCs w:val="32"/>
          <w14:textFill>
            <w14:solidFill>
              <w14:schemeClr w14:val="tx1"/>
            </w14:solidFill>
          </w14:textFill>
        </w:rPr>
        <w:t>20</w:t>
      </w:r>
      <w:r>
        <w:rPr>
          <w:rFonts w:hint="eastAsia" w:ascii="仿宋" w:hAnsi="仿宋" w:eastAsia="仿宋"/>
          <w:b/>
          <w:color w:val="000000" w:themeColor="text1"/>
          <w:sz w:val="32"/>
          <w:szCs w:val="32"/>
          <w:lang w:val="en-US" w:eastAsia="zh-CN"/>
          <w14:textFill>
            <w14:solidFill>
              <w14:schemeClr w14:val="tx1"/>
            </w14:solidFill>
          </w14:textFill>
        </w:rPr>
        <w:t>20</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lang w:val="en-US" w:eastAsia="zh-CN"/>
          <w14:textFill>
            <w14:solidFill>
              <w14:schemeClr w14:val="tx1"/>
            </w14:solidFill>
          </w14:textFill>
        </w:rPr>
        <w:t>一</w:t>
      </w:r>
      <w:r>
        <w:rPr>
          <w:rFonts w:hint="eastAsia" w:ascii="仿宋" w:hAnsi="仿宋" w:eastAsia="仿宋"/>
          <w:b/>
          <w:color w:val="000000" w:themeColor="text1"/>
          <w:sz w:val="32"/>
          <w:szCs w:val="32"/>
          <w14:textFill>
            <w14:solidFill>
              <w14:schemeClr w14:val="tx1"/>
            </w14:solidFill>
          </w14:textFill>
        </w:rPr>
        <w:t>般公共预算支出决算数为</w:t>
      </w:r>
      <w:r>
        <w:rPr>
          <w:rFonts w:hint="eastAsia" w:ascii="仿宋" w:hAnsi="仿宋" w:eastAsia="仿宋"/>
          <w:b/>
          <w:color w:val="000000" w:themeColor="text1"/>
          <w:sz w:val="32"/>
          <w:szCs w:val="32"/>
          <w:lang w:val="en-US" w:eastAsia="zh-CN"/>
          <w14:textFill>
            <w14:solidFill>
              <w14:schemeClr w14:val="tx1"/>
            </w14:solidFill>
          </w14:textFill>
        </w:rPr>
        <w:t>10487.29</w:t>
      </w:r>
      <w:r>
        <w:rPr>
          <w:rFonts w:hint="eastAsia" w:ascii="仿宋" w:hAnsi="仿宋" w:eastAsia="仿宋"/>
          <w:color w:val="000000" w:themeColor="text1"/>
          <w:sz w:val="32"/>
          <w:szCs w:val="32"/>
          <w14:textFill>
            <w14:solidFill>
              <w14:schemeClr w14:val="tx1"/>
            </w14:solidFill>
          </w14:textFill>
        </w:rPr>
        <w:t>，</w:t>
      </w:r>
      <w:r>
        <w:rPr>
          <w:rStyle w:val="15"/>
          <w:rFonts w:hint="eastAsia" w:ascii="仿宋" w:hAnsi="仿宋" w:eastAsia="仿宋"/>
          <w:bCs/>
          <w:color w:val="000000" w:themeColor="text1"/>
          <w:sz w:val="32"/>
          <w:szCs w:val="32"/>
          <w14:textFill>
            <w14:solidFill>
              <w14:schemeClr w14:val="tx1"/>
            </w14:solidFill>
          </w14:textFill>
        </w:rPr>
        <w:t>完成</w:t>
      </w:r>
      <w:r>
        <w:rPr>
          <w:rStyle w:val="15"/>
          <w:rFonts w:hint="eastAsia" w:ascii="仿宋" w:hAnsi="仿宋" w:eastAsia="仿宋"/>
          <w:bCs/>
          <w:color w:val="000000"/>
          <w:sz w:val="32"/>
          <w:szCs w:val="32"/>
        </w:rPr>
        <w:t>预算</w:t>
      </w:r>
      <w:r>
        <w:rPr>
          <w:rStyle w:val="15"/>
          <w:rFonts w:hint="eastAsia" w:ascii="仿宋" w:hAnsi="仿宋" w:eastAsia="仿宋"/>
          <w:bCs/>
          <w:color w:val="000000"/>
          <w:sz w:val="32"/>
          <w:szCs w:val="32"/>
          <w:lang w:val="en-US" w:eastAsia="zh-CN"/>
        </w:rPr>
        <w:t>100</w:t>
      </w:r>
      <w:r>
        <w:rPr>
          <w:rStyle w:val="15"/>
          <w:rFonts w:ascii="仿宋" w:hAnsi="仿宋" w:eastAsia="仿宋"/>
          <w:bCs/>
          <w:color w:val="000000"/>
          <w:sz w:val="32"/>
          <w:szCs w:val="32"/>
        </w:rPr>
        <w:t>%</w:t>
      </w:r>
      <w:r>
        <w:rPr>
          <w:rStyle w:val="15"/>
          <w:rFonts w:hint="eastAsia" w:ascii="仿宋" w:hAnsi="仿宋" w:eastAsia="仿宋"/>
          <w:bCs/>
          <w:color w:val="000000"/>
          <w:sz w:val="32"/>
          <w:szCs w:val="32"/>
        </w:rPr>
        <w:t>。其中：</w:t>
      </w:r>
      <w:bookmarkEnd w:id="31"/>
      <w:bookmarkEnd w:id="32"/>
      <w:bookmarkEnd w:id="33"/>
    </w:p>
    <w:p>
      <w:pPr>
        <w:spacing w:line="600" w:lineRule="exact"/>
        <w:ind w:firstLine="643" w:firstLineChars="200"/>
        <w:rPr>
          <w:rFonts w:hint="default" w:ascii="仿宋" w:hAnsi="仿宋" w:eastAsia="仿宋"/>
          <w:b/>
          <w:color w:val="000000"/>
          <w:sz w:val="32"/>
          <w:szCs w:val="32"/>
          <w:lang w:val="en-US" w:eastAsia="zh-CN"/>
        </w:rPr>
      </w:pPr>
      <w:r>
        <w:rPr>
          <w:rStyle w:val="15"/>
          <w:rFonts w:hint="eastAsia" w:ascii="仿宋" w:hAnsi="仿宋" w:eastAsia="仿宋"/>
          <w:bCs/>
          <w:color w:val="000000"/>
          <w:sz w:val="32"/>
          <w:szCs w:val="32"/>
          <w:lang w:val="en-US" w:eastAsia="zh-CN"/>
        </w:rPr>
        <w:t>1.</w:t>
      </w:r>
      <w:r>
        <w:rPr>
          <w:rStyle w:val="15"/>
          <w:rFonts w:hint="eastAsia" w:ascii="仿宋" w:hAnsi="仿宋" w:eastAsia="仿宋"/>
          <w:bCs/>
          <w:color w:val="000000"/>
          <w:sz w:val="32"/>
          <w:szCs w:val="32"/>
        </w:rPr>
        <w:t>社会保障和就业（类）</w:t>
      </w:r>
      <w:r>
        <w:rPr>
          <w:rStyle w:val="15"/>
          <w:rFonts w:hint="eastAsia" w:ascii="仿宋" w:hAnsi="仿宋" w:eastAsia="仿宋"/>
          <w:bCs/>
          <w:color w:val="000000"/>
          <w:sz w:val="32"/>
          <w:szCs w:val="32"/>
          <w:lang w:val="en-US" w:eastAsia="zh-CN"/>
        </w:rPr>
        <w:t>行政事业单位养老支出</w:t>
      </w:r>
      <w:r>
        <w:rPr>
          <w:rStyle w:val="15"/>
          <w:rFonts w:hint="eastAsia" w:ascii="仿宋" w:hAnsi="仿宋" w:eastAsia="仿宋"/>
          <w:bCs/>
          <w:color w:val="000000"/>
          <w:sz w:val="32"/>
          <w:szCs w:val="32"/>
        </w:rPr>
        <w:t>（款）</w:t>
      </w:r>
      <w:r>
        <w:rPr>
          <w:rStyle w:val="15"/>
          <w:rFonts w:hint="eastAsia" w:ascii="仿宋" w:hAnsi="仿宋" w:eastAsia="仿宋"/>
          <w:bCs/>
          <w:color w:val="000000"/>
          <w:sz w:val="32"/>
          <w:szCs w:val="32"/>
          <w:lang w:val="en-US" w:eastAsia="zh-CN"/>
        </w:rPr>
        <w:t>事业单位离退休</w:t>
      </w:r>
      <w:r>
        <w:rPr>
          <w:rStyle w:val="15"/>
          <w:rFonts w:hint="eastAsia" w:ascii="仿宋" w:hAnsi="仿宋" w:eastAsia="仿宋"/>
          <w:bCs/>
          <w:color w:val="000000"/>
          <w:sz w:val="32"/>
          <w:szCs w:val="32"/>
        </w:rPr>
        <w:t>（项）</w:t>
      </w:r>
      <w:r>
        <w:rPr>
          <w:rStyle w:val="15"/>
          <w:rFonts w:ascii="仿宋" w:hAnsi="仿宋" w:eastAsia="仿宋"/>
          <w:bCs/>
          <w:color w:val="000000"/>
          <w:sz w:val="32"/>
          <w:szCs w:val="32"/>
        </w:rPr>
        <w:t>:</w:t>
      </w:r>
      <w:r>
        <w:rPr>
          <w:rStyle w:val="15"/>
          <w:rFonts w:ascii="仿宋" w:hAnsi="仿宋" w:eastAsia="仿宋"/>
          <w:b w:val="0"/>
          <w:bCs/>
          <w:color w:val="000000"/>
          <w:sz w:val="32"/>
          <w:szCs w:val="32"/>
        </w:rPr>
        <w:t xml:space="preserve"> </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450.86</w:t>
      </w:r>
      <w:r>
        <w:rPr>
          <w:rStyle w:val="15"/>
          <w:rFonts w:hint="eastAsia" w:ascii="仿宋" w:hAnsi="仿宋" w:eastAsia="仿宋"/>
          <w:b w:val="0"/>
          <w:bCs/>
          <w:color w:val="000000"/>
          <w:sz w:val="32"/>
          <w:szCs w:val="32"/>
        </w:rPr>
        <w:t>万元，完成预算</w:t>
      </w:r>
      <w:r>
        <w:rPr>
          <w:rStyle w:val="15"/>
          <w:rFonts w:hint="eastAsia" w:ascii="仿宋" w:hAnsi="仿宋" w:eastAsia="仿宋"/>
          <w:b w:val="0"/>
          <w:bCs/>
          <w:color w:val="000000"/>
          <w:sz w:val="32"/>
          <w:szCs w:val="32"/>
          <w:lang w:val="en-US" w:eastAsia="zh-CN"/>
        </w:rPr>
        <w:t>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lang w:eastAsia="zh-CN"/>
        </w:rPr>
        <w:t>；</w:t>
      </w:r>
      <w:r>
        <w:rPr>
          <w:rStyle w:val="15"/>
          <w:rFonts w:hint="eastAsia" w:ascii="仿宋" w:hAnsi="仿宋" w:eastAsia="仿宋"/>
          <w:bCs/>
          <w:color w:val="000000"/>
          <w:sz w:val="32"/>
          <w:szCs w:val="32"/>
          <w:lang w:val="en-US" w:eastAsia="zh-CN"/>
        </w:rPr>
        <w:t>机关事业单位基本养老保险缴费支出</w:t>
      </w:r>
      <w:r>
        <w:rPr>
          <w:rStyle w:val="15"/>
          <w:rFonts w:hint="eastAsia" w:ascii="仿宋" w:hAnsi="仿宋" w:eastAsia="仿宋"/>
          <w:b w:val="0"/>
          <w:bCs/>
          <w:color w:val="000000"/>
          <w:sz w:val="32"/>
          <w:szCs w:val="32"/>
          <w:lang w:val="en-US" w:eastAsia="zh-CN"/>
        </w:rPr>
        <w:t>，支出决算为1319万元，完成预算100%；</w:t>
      </w:r>
      <w:r>
        <w:rPr>
          <w:rStyle w:val="15"/>
          <w:rFonts w:hint="eastAsia" w:ascii="仿宋" w:hAnsi="仿宋" w:eastAsia="仿宋"/>
          <w:bCs/>
          <w:color w:val="000000"/>
          <w:sz w:val="32"/>
          <w:szCs w:val="32"/>
          <w:lang w:val="en-US" w:eastAsia="zh-CN"/>
        </w:rPr>
        <w:t>机关事业单位职业年金缴费支出</w:t>
      </w:r>
      <w:r>
        <w:rPr>
          <w:rStyle w:val="15"/>
          <w:rFonts w:hint="eastAsia" w:ascii="仿宋" w:hAnsi="仿宋" w:eastAsia="仿宋"/>
          <w:b w:val="0"/>
          <w:bCs/>
          <w:color w:val="000000"/>
          <w:sz w:val="32"/>
          <w:szCs w:val="32"/>
          <w:lang w:val="en-US" w:eastAsia="zh-CN"/>
        </w:rPr>
        <w:t>，支出决算为296.66，完成预算100%。</w:t>
      </w:r>
    </w:p>
    <w:p>
      <w:pPr>
        <w:spacing w:line="600" w:lineRule="exact"/>
        <w:ind w:firstLine="643" w:firstLineChars="200"/>
        <w:rPr>
          <w:rStyle w:val="15"/>
          <w:rFonts w:hint="eastAsia" w:ascii="仿宋" w:hAnsi="仿宋" w:eastAsia="仿宋"/>
          <w:b w:val="0"/>
          <w:bCs/>
          <w:color w:val="000000"/>
          <w:sz w:val="32"/>
          <w:szCs w:val="32"/>
        </w:rPr>
      </w:pPr>
      <w:r>
        <w:rPr>
          <w:rStyle w:val="15"/>
          <w:rFonts w:hint="eastAsia" w:ascii="仿宋" w:hAnsi="仿宋" w:eastAsia="仿宋"/>
          <w:bCs/>
          <w:color w:val="000000"/>
          <w:sz w:val="32"/>
          <w:szCs w:val="32"/>
          <w:lang w:val="en-US" w:eastAsia="zh-CN"/>
        </w:rPr>
        <w:t>2</w:t>
      </w:r>
      <w:r>
        <w:rPr>
          <w:rStyle w:val="15"/>
          <w:rFonts w:ascii="仿宋" w:hAnsi="仿宋" w:eastAsia="仿宋"/>
          <w:bCs/>
          <w:color w:val="000000"/>
          <w:sz w:val="32"/>
          <w:szCs w:val="32"/>
        </w:rPr>
        <w:t>.</w:t>
      </w:r>
      <w:r>
        <w:rPr>
          <w:rFonts w:hint="eastAsia" w:ascii="仿宋" w:hAnsi="仿宋" w:eastAsia="仿宋"/>
          <w:b/>
          <w:bCs/>
          <w:color w:val="000000" w:themeColor="text1"/>
          <w:sz w:val="32"/>
          <w:szCs w:val="32"/>
          <w14:textFill>
            <w14:solidFill>
              <w14:schemeClr w14:val="tx1"/>
            </w14:solidFill>
          </w14:textFill>
        </w:rPr>
        <w:t>卫生健康</w:t>
      </w:r>
      <w:r>
        <w:rPr>
          <w:rStyle w:val="15"/>
          <w:rFonts w:hint="eastAsia" w:ascii="仿宋" w:hAnsi="仿宋" w:eastAsia="仿宋"/>
          <w:bCs/>
          <w:color w:val="000000"/>
          <w:sz w:val="32"/>
          <w:szCs w:val="32"/>
        </w:rPr>
        <w:t>（类）</w:t>
      </w:r>
      <w:r>
        <w:rPr>
          <w:rStyle w:val="15"/>
          <w:rFonts w:hint="eastAsia" w:ascii="仿宋" w:hAnsi="仿宋" w:eastAsia="仿宋"/>
          <w:bCs/>
          <w:color w:val="000000"/>
          <w:sz w:val="32"/>
          <w:szCs w:val="32"/>
          <w:lang w:val="en-US" w:eastAsia="zh-CN"/>
        </w:rPr>
        <w:t>行政事业单位医疗</w:t>
      </w:r>
      <w:r>
        <w:rPr>
          <w:rStyle w:val="15"/>
          <w:rFonts w:hint="eastAsia" w:ascii="仿宋" w:hAnsi="仿宋" w:eastAsia="仿宋"/>
          <w:bCs/>
          <w:color w:val="000000"/>
          <w:sz w:val="32"/>
          <w:szCs w:val="32"/>
        </w:rPr>
        <w:t>（款）</w:t>
      </w:r>
      <w:r>
        <w:rPr>
          <w:rStyle w:val="15"/>
          <w:rFonts w:hint="eastAsia" w:ascii="仿宋" w:hAnsi="仿宋" w:eastAsia="仿宋"/>
          <w:bCs/>
          <w:color w:val="000000"/>
          <w:sz w:val="32"/>
          <w:szCs w:val="32"/>
          <w:lang w:val="en-US" w:eastAsia="zh-CN"/>
        </w:rPr>
        <w:t>事业单位医疗</w:t>
      </w:r>
      <w:r>
        <w:rPr>
          <w:rStyle w:val="15"/>
          <w:rFonts w:hint="eastAsia" w:ascii="仿宋" w:hAnsi="仿宋" w:eastAsia="仿宋"/>
          <w:bCs/>
          <w:color w:val="000000"/>
          <w:sz w:val="32"/>
          <w:szCs w:val="32"/>
        </w:rPr>
        <w:t>（项）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361.90</w:t>
      </w:r>
      <w:r>
        <w:rPr>
          <w:rStyle w:val="15"/>
          <w:rFonts w:hint="eastAsia" w:ascii="仿宋" w:hAnsi="仿宋" w:eastAsia="仿宋"/>
          <w:b w:val="0"/>
          <w:bCs/>
          <w:color w:val="000000"/>
          <w:sz w:val="32"/>
          <w:szCs w:val="32"/>
        </w:rPr>
        <w:t>万元，完成预算</w:t>
      </w:r>
      <w:r>
        <w:rPr>
          <w:rStyle w:val="15"/>
          <w:rFonts w:hint="eastAsia" w:ascii="仿宋" w:hAnsi="仿宋" w:eastAsia="仿宋"/>
          <w:b w:val="0"/>
          <w:bCs/>
          <w:color w:val="000000"/>
          <w:sz w:val="32"/>
          <w:szCs w:val="32"/>
          <w:lang w:val="en-US" w:eastAsia="zh-CN"/>
        </w:rPr>
        <w:t>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w:t>
      </w:r>
    </w:p>
    <w:p>
      <w:pPr>
        <w:spacing w:line="600" w:lineRule="exact"/>
        <w:ind w:firstLine="643" w:firstLineChars="200"/>
        <w:rPr>
          <w:rStyle w:val="15"/>
          <w:rFonts w:hint="eastAsia" w:ascii="仿宋" w:hAnsi="仿宋" w:eastAsia="仿宋"/>
          <w:b w:val="0"/>
          <w:bCs/>
          <w:color w:val="000000"/>
          <w:sz w:val="32"/>
          <w:szCs w:val="32"/>
          <w:lang w:val="en-US" w:eastAsia="zh-CN"/>
        </w:rPr>
      </w:pPr>
      <w:r>
        <w:rPr>
          <w:rStyle w:val="15"/>
          <w:rFonts w:hint="eastAsia" w:ascii="仿宋" w:hAnsi="仿宋" w:eastAsia="仿宋"/>
          <w:bCs/>
          <w:color w:val="000000"/>
          <w:sz w:val="32"/>
          <w:szCs w:val="32"/>
          <w:lang w:val="en-US" w:eastAsia="zh-CN"/>
        </w:rPr>
        <w:t>3.农林水支出（类）水利（款）水利工程运行与维护（项）</w:t>
      </w:r>
      <w:r>
        <w:rPr>
          <w:rStyle w:val="15"/>
          <w:rFonts w:hint="eastAsia" w:ascii="仿宋" w:hAnsi="仿宋" w:eastAsia="仿宋"/>
          <w:b w:val="0"/>
          <w:bCs/>
          <w:color w:val="000000"/>
          <w:sz w:val="32"/>
          <w:szCs w:val="32"/>
          <w:lang w:val="en-US" w:eastAsia="zh-CN"/>
        </w:rPr>
        <w:t>，支出决算数577.48万元，完成预算100%。</w:t>
      </w:r>
    </w:p>
    <w:p>
      <w:pPr>
        <w:spacing w:line="600" w:lineRule="exact"/>
        <w:ind w:firstLine="640" w:firstLineChars="200"/>
        <w:rPr>
          <w:rStyle w:val="15"/>
          <w:rFonts w:hint="eastAsia" w:ascii="仿宋" w:hAnsi="仿宋" w:eastAsia="仿宋"/>
          <w:b w:val="0"/>
          <w:bCs/>
          <w:color w:val="000000"/>
          <w:sz w:val="32"/>
          <w:szCs w:val="32"/>
          <w:lang w:val="en-US" w:eastAsia="zh-CN"/>
        </w:rPr>
      </w:pPr>
    </w:p>
    <w:p>
      <w:pPr>
        <w:pageBreakBefore w:val="0"/>
        <w:widowControl w:val="0"/>
        <w:tabs>
          <w:tab w:val="right" w:pos="8306"/>
        </w:tabs>
        <w:kinsoku/>
        <w:wordWrap/>
        <w:overflowPunct/>
        <w:topLinePunct w:val="0"/>
        <w:autoSpaceDE/>
        <w:autoSpaceDN/>
        <w:bidi w:val="0"/>
        <w:adjustRightInd/>
        <w:snapToGrid/>
        <w:spacing w:line="600" w:lineRule="exact"/>
        <w:ind w:firstLine="640"/>
        <w:textAlignment w:val="auto"/>
        <w:outlineLvl w:val="1"/>
        <w:rPr>
          <w:rStyle w:val="26"/>
        </w:rPr>
      </w:pPr>
      <w:bookmarkStart w:id="34" w:name="_Toc15377214"/>
      <w:bookmarkStart w:id="35" w:name="_Toc15396608"/>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6"/>
          <w:rFonts w:hint="eastAsia" w:ascii="黑体" w:hAnsi="黑体" w:eastAsia="黑体"/>
          <w:b w:val="0"/>
        </w:rPr>
        <w:t>般公共预算财政拨款基本支出决算情况说明</w:t>
      </w:r>
      <w:bookmarkEnd w:id="34"/>
      <w:bookmarkEnd w:id="35"/>
      <w:r>
        <w:rPr>
          <w:rStyle w:val="26"/>
          <w:rFonts w:ascii="黑体" w:hAnsi="黑体" w:eastAsia="黑体"/>
          <w:b w:val="0"/>
        </w:rPr>
        <w:tab/>
      </w:r>
    </w:p>
    <w:p>
      <w:pPr>
        <w:spacing w:line="600" w:lineRule="exact"/>
        <w:ind w:firstLine="645"/>
        <w:rPr>
          <w:rFonts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年一般公共预算财政拨款基本支出</w:t>
      </w:r>
      <w:r>
        <w:rPr>
          <w:rFonts w:hint="eastAsia" w:ascii="仿宋" w:hAnsi="仿宋" w:eastAsia="仿宋"/>
          <w:color w:val="000000"/>
          <w:sz w:val="32"/>
          <w:szCs w:val="32"/>
          <w:lang w:val="en-US" w:eastAsia="zh-CN"/>
        </w:rPr>
        <w:t>3005.92</w:t>
      </w:r>
      <w:bookmarkStart w:id="52" w:name="_GoBack"/>
      <w:bookmarkEnd w:id="52"/>
      <w:r>
        <w:rPr>
          <w:rFonts w:hint="eastAsia" w:ascii="仿宋" w:hAnsi="仿宋" w:eastAsia="仿宋"/>
          <w:color w:val="000000"/>
          <w:sz w:val="32"/>
          <w:szCs w:val="32"/>
        </w:rPr>
        <w:t>万元，其中：</w:t>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3005.92</w:t>
      </w:r>
      <w:r>
        <w:rPr>
          <w:rFonts w:hint="eastAsia" w:ascii="仿宋" w:hAnsi="仿宋" w:eastAsia="仿宋"/>
          <w:color w:val="000000"/>
          <w:sz w:val="32"/>
          <w:szCs w:val="32"/>
        </w:rPr>
        <w:t>万元，主要包括：</w:t>
      </w:r>
      <w:r>
        <w:rPr>
          <w:rFonts w:hint="eastAsia" w:ascii="仿宋" w:hAnsi="仿宋" w:eastAsia="仿宋"/>
          <w:color w:val="000000"/>
          <w:sz w:val="32"/>
          <w:szCs w:val="32"/>
          <w:highlight w:val="none"/>
        </w:rPr>
        <w:t>奖金</w:t>
      </w:r>
      <w:r>
        <w:rPr>
          <w:rFonts w:hint="eastAsia" w:ascii="仿宋" w:hAnsi="仿宋" w:eastAsia="仿宋"/>
          <w:color w:val="000000"/>
          <w:sz w:val="32"/>
          <w:szCs w:val="32"/>
          <w:highlight w:val="none"/>
          <w:lang w:val="en-US" w:eastAsia="zh-CN"/>
        </w:rPr>
        <w:t>576万元</w:t>
      </w:r>
      <w:r>
        <w:rPr>
          <w:rFonts w:hint="eastAsia" w:ascii="仿宋" w:hAnsi="仿宋" w:eastAsia="仿宋"/>
          <w:color w:val="000000"/>
          <w:sz w:val="32"/>
          <w:szCs w:val="32"/>
          <w:highlight w:val="none"/>
        </w:rPr>
        <w:t>、机关事业单位基本养老保险缴费</w:t>
      </w:r>
      <w:r>
        <w:rPr>
          <w:rFonts w:hint="eastAsia" w:ascii="仿宋" w:hAnsi="仿宋" w:eastAsia="仿宋"/>
          <w:color w:val="000000"/>
          <w:sz w:val="32"/>
          <w:szCs w:val="32"/>
          <w:highlight w:val="none"/>
          <w:lang w:val="en-US" w:eastAsia="zh-CN"/>
        </w:rPr>
        <w:t>1319万元</w:t>
      </w:r>
      <w:r>
        <w:rPr>
          <w:rFonts w:hint="eastAsia" w:ascii="仿宋" w:hAnsi="仿宋" w:eastAsia="仿宋"/>
          <w:color w:val="000000"/>
          <w:sz w:val="32"/>
          <w:szCs w:val="32"/>
          <w:highlight w:val="none"/>
        </w:rPr>
        <w:t>、职业年金缴费</w:t>
      </w:r>
      <w:r>
        <w:rPr>
          <w:rFonts w:hint="eastAsia" w:ascii="仿宋" w:hAnsi="仿宋" w:eastAsia="仿宋"/>
          <w:color w:val="000000"/>
          <w:sz w:val="32"/>
          <w:szCs w:val="32"/>
          <w:highlight w:val="none"/>
          <w:lang w:val="en-US" w:eastAsia="zh-CN"/>
        </w:rPr>
        <w:t>296.66万元</w:t>
      </w:r>
      <w:r>
        <w:rPr>
          <w:rFonts w:hint="eastAsia" w:ascii="仿宋" w:hAnsi="仿宋" w:eastAsia="仿宋"/>
          <w:color w:val="000000"/>
          <w:sz w:val="32"/>
          <w:szCs w:val="32"/>
          <w:highlight w:val="none"/>
        </w:rPr>
        <w:t>、其他社会保障缴费</w:t>
      </w:r>
      <w:r>
        <w:rPr>
          <w:rFonts w:hint="eastAsia" w:ascii="仿宋" w:hAnsi="仿宋" w:eastAsia="仿宋"/>
          <w:color w:val="000000"/>
          <w:sz w:val="32"/>
          <w:szCs w:val="32"/>
          <w:highlight w:val="none"/>
          <w:lang w:val="en-US" w:eastAsia="zh-CN"/>
        </w:rPr>
        <w:t>1.49万元</w:t>
      </w:r>
      <w:r>
        <w:rPr>
          <w:rFonts w:hint="eastAsia" w:ascii="仿宋" w:hAnsi="仿宋" w:eastAsia="仿宋"/>
          <w:color w:val="000000"/>
          <w:sz w:val="32"/>
          <w:szCs w:val="32"/>
          <w:highlight w:val="none"/>
        </w:rPr>
        <w:t>、</w:t>
      </w:r>
      <w:r>
        <w:rPr>
          <w:rFonts w:hint="eastAsia" w:ascii="仿宋" w:hAnsi="仿宋" w:eastAsia="仿宋"/>
          <w:color w:val="000000"/>
          <w:sz w:val="32"/>
          <w:szCs w:val="32"/>
          <w:highlight w:val="none"/>
          <w:lang w:val="en-US" w:eastAsia="zh-CN"/>
        </w:rPr>
        <w:t>职工基本</w:t>
      </w:r>
      <w:r>
        <w:rPr>
          <w:rFonts w:hint="eastAsia" w:ascii="仿宋" w:hAnsi="仿宋" w:eastAsia="仿宋"/>
          <w:color w:val="000000"/>
          <w:sz w:val="32"/>
          <w:szCs w:val="32"/>
          <w:highlight w:val="none"/>
        </w:rPr>
        <w:t>医疗</w:t>
      </w:r>
      <w:r>
        <w:rPr>
          <w:rFonts w:hint="eastAsia" w:ascii="仿宋" w:hAnsi="仿宋" w:eastAsia="仿宋"/>
          <w:color w:val="000000"/>
          <w:sz w:val="32"/>
          <w:szCs w:val="32"/>
          <w:highlight w:val="none"/>
          <w:lang w:val="en-US" w:eastAsia="zh-CN"/>
        </w:rPr>
        <w:t>保险缴费361.90万元</w:t>
      </w:r>
      <w:r>
        <w:rPr>
          <w:rFonts w:hint="eastAsia" w:ascii="仿宋" w:hAnsi="仿宋" w:eastAsia="仿宋"/>
          <w:color w:val="000000"/>
          <w:sz w:val="32"/>
          <w:szCs w:val="32"/>
          <w:highlight w:val="none"/>
        </w:rPr>
        <w:t>、个人和家庭的补助支出</w:t>
      </w:r>
      <w:r>
        <w:rPr>
          <w:rFonts w:hint="eastAsia" w:ascii="仿宋" w:hAnsi="仿宋" w:eastAsia="仿宋"/>
          <w:color w:val="000000"/>
          <w:sz w:val="32"/>
          <w:szCs w:val="32"/>
          <w:highlight w:val="none"/>
          <w:lang w:val="en-US" w:eastAsia="zh-CN"/>
        </w:rPr>
        <w:t>450.87万元</w:t>
      </w:r>
      <w:r>
        <w:rPr>
          <w:rFonts w:hint="eastAsia" w:ascii="仿宋" w:hAnsi="仿宋" w:eastAsia="仿宋"/>
          <w:color w:val="000000"/>
          <w:sz w:val="32"/>
          <w:szCs w:val="32"/>
        </w:rPr>
        <w:t>。</w:t>
      </w:r>
      <w:r>
        <w:rPr>
          <w:rFonts w:ascii="仿宋" w:hAnsi="仿宋" w:eastAsia="仿宋"/>
          <w:color w:val="000000"/>
          <w:sz w:val="32"/>
          <w:szCs w:val="32"/>
        </w:rPr>
        <w:br w:type="textWrapping"/>
      </w:r>
      <w:r>
        <w:rPr>
          <w:rFonts w:hint="eastAsia" w:ascii="仿宋" w:hAnsi="仿宋" w:eastAsia="仿宋"/>
          <w:color w:val="000000"/>
          <w:sz w:val="32"/>
          <w:szCs w:val="32"/>
        </w:rPr>
        <w:t>　　</w:t>
      </w:r>
    </w:p>
    <w:p>
      <w:pPr>
        <w:pageBreakBefore w:val="0"/>
        <w:widowControl w:val="0"/>
        <w:kinsoku/>
        <w:wordWrap/>
        <w:overflowPunct/>
        <w:topLinePunct w:val="0"/>
        <w:autoSpaceDE/>
        <w:autoSpaceDN/>
        <w:bidi w:val="0"/>
        <w:adjustRightInd/>
        <w:snapToGrid/>
        <w:spacing w:line="600" w:lineRule="exact"/>
        <w:ind w:firstLine="640"/>
        <w:textAlignment w:val="auto"/>
        <w:outlineLvl w:val="1"/>
        <w:rPr>
          <w:rStyle w:val="26"/>
          <w:rFonts w:ascii="黑体" w:hAnsi="黑体" w:eastAsia="黑体"/>
          <w:b w:val="0"/>
        </w:rPr>
      </w:pPr>
      <w:bookmarkStart w:id="36" w:name="_Toc15396609"/>
      <w:bookmarkStart w:id="37" w:name="_Toc15377215"/>
      <w:r>
        <w:rPr>
          <w:rFonts w:hint="eastAsia" w:ascii="黑体" w:eastAsia="黑体"/>
          <w:color w:val="000000"/>
          <w:sz w:val="32"/>
          <w:szCs w:val="32"/>
        </w:rPr>
        <w:t>七、</w:t>
      </w:r>
      <w:r>
        <w:rPr>
          <w:rStyle w:val="26"/>
          <w:rFonts w:hint="eastAsia" w:ascii="黑体" w:hAnsi="黑体" w:eastAsia="黑体"/>
        </w:rPr>
        <w:t>“</w:t>
      </w:r>
      <w:r>
        <w:rPr>
          <w:rStyle w:val="26"/>
          <w:rFonts w:hint="eastAsia" w:ascii="黑体" w:hAnsi="黑体" w:eastAsia="黑体"/>
          <w:b w:val="0"/>
        </w:rPr>
        <w:t>三公”经费财政拨款支出决算情况说明</w:t>
      </w:r>
      <w:bookmarkEnd w:id="36"/>
      <w:bookmarkEnd w:id="37"/>
    </w:p>
    <w:p>
      <w:pPr>
        <w:spacing w:line="600" w:lineRule="exact"/>
        <w:ind w:firstLine="640"/>
        <w:rPr>
          <w:rFonts w:hint="default" w:ascii="仿宋_GB2312" w:eastAsia="仿宋_GB2312"/>
          <w:color w:val="000000"/>
          <w:sz w:val="32"/>
          <w:szCs w:val="32"/>
          <w:lang w:val="en-US" w:eastAsia="zh-CN"/>
        </w:rPr>
      </w:pPr>
      <w:bookmarkStart w:id="38" w:name="_Toc15396610"/>
      <w:bookmarkStart w:id="39" w:name="_Toc15377218"/>
      <w:r>
        <w:rPr>
          <w:rFonts w:hint="eastAsia" w:ascii="仿宋_GB2312" w:eastAsia="仿宋_GB2312"/>
          <w:color w:val="000000"/>
          <w:sz w:val="32"/>
          <w:szCs w:val="32"/>
          <w:lang w:val="en-US" w:eastAsia="zh-CN"/>
        </w:rPr>
        <w:t xml:space="preserve">    无</w:t>
      </w:r>
    </w:p>
    <w:p>
      <w:pPr>
        <w:pageBreakBefore w:val="0"/>
        <w:widowControl w:val="0"/>
        <w:kinsoku/>
        <w:wordWrap/>
        <w:overflowPunct/>
        <w:topLinePunct w:val="0"/>
        <w:autoSpaceDE/>
        <w:autoSpaceDN/>
        <w:bidi w:val="0"/>
        <w:adjustRightInd/>
        <w:snapToGrid/>
        <w:spacing w:line="600" w:lineRule="exact"/>
        <w:ind w:firstLine="640"/>
        <w:textAlignment w:val="auto"/>
        <w:outlineLvl w:val="1"/>
        <w:rPr>
          <w:rStyle w:val="26"/>
          <w:rFonts w:ascii="黑体" w:hAnsi="黑体" w:eastAsia="黑体"/>
        </w:rPr>
      </w:pPr>
      <w:r>
        <w:rPr>
          <w:rFonts w:hint="eastAsia" w:ascii="黑体" w:eastAsia="黑体"/>
          <w:color w:val="000000"/>
          <w:sz w:val="32"/>
          <w:szCs w:val="32"/>
        </w:rPr>
        <w:t>八、</w:t>
      </w:r>
      <w:r>
        <w:rPr>
          <w:rStyle w:val="26"/>
          <w:rFonts w:hint="eastAsia" w:ascii="黑体" w:hAnsi="黑体" w:eastAsia="黑体"/>
          <w:b w:val="0"/>
        </w:rPr>
        <w:t>政府性基金预算支出决算情况说明</w:t>
      </w:r>
      <w:bookmarkEnd w:id="38"/>
      <w:bookmarkEnd w:id="39"/>
    </w:p>
    <w:p>
      <w:pPr>
        <w:spacing w:line="600" w:lineRule="exact"/>
        <w:ind w:firstLine="1292" w:firstLineChars="404"/>
        <w:rPr>
          <w:rFonts w:hint="eastAsia" w:ascii="仿宋_GB2312" w:eastAsia="仿宋_GB2312"/>
          <w:color w:val="000000"/>
          <w:sz w:val="32"/>
          <w:szCs w:val="32"/>
          <w:lang w:eastAsia="zh-CN"/>
        </w:rPr>
      </w:pPr>
      <w:r>
        <w:rPr>
          <w:rFonts w:hint="eastAsia" w:ascii="仿宋_GB2312" w:eastAsia="仿宋_GB2312"/>
          <w:color w:val="000000"/>
          <w:sz w:val="32"/>
          <w:szCs w:val="32"/>
          <w:lang w:val="en-US" w:eastAsia="zh-CN"/>
        </w:rPr>
        <w:t>无</w:t>
      </w:r>
    </w:p>
    <w:p>
      <w:pPr>
        <w:pageBreakBefore w:val="0"/>
        <w:widowControl w:val="0"/>
        <w:numPr>
          <w:ilvl w:val="0"/>
          <w:numId w:val="3"/>
        </w:numPr>
        <w:kinsoku/>
        <w:wordWrap/>
        <w:overflowPunct/>
        <w:topLinePunct w:val="0"/>
        <w:autoSpaceDE/>
        <w:autoSpaceDN/>
        <w:bidi w:val="0"/>
        <w:adjustRightInd/>
        <w:snapToGrid/>
        <w:spacing w:line="600" w:lineRule="exact"/>
        <w:ind w:firstLine="640"/>
        <w:textAlignment w:val="auto"/>
        <w:outlineLvl w:val="1"/>
        <w:rPr>
          <w:rStyle w:val="26"/>
          <w:rFonts w:ascii="黑体" w:hAnsi="黑体" w:eastAsia="黑体"/>
          <w:b w:val="0"/>
        </w:rPr>
      </w:pPr>
      <w:bookmarkStart w:id="40" w:name="_Toc15377219"/>
      <w:bookmarkStart w:id="41" w:name="_Toc15396611"/>
      <w:r>
        <w:rPr>
          <w:rStyle w:val="26"/>
          <w:rFonts w:hint="eastAsia" w:ascii="黑体" w:hAnsi="黑体" w:eastAsia="黑体"/>
          <w:b w:val="0"/>
        </w:rPr>
        <w:t>国有资本经营预算支出决算情况说明</w:t>
      </w:r>
      <w:bookmarkEnd w:id="40"/>
      <w:bookmarkEnd w:id="41"/>
    </w:p>
    <w:p>
      <w:pPr>
        <w:numPr>
          <w:ilvl w:val="0"/>
          <w:numId w:val="0"/>
        </w:numPr>
        <w:spacing w:line="600" w:lineRule="exact"/>
        <w:ind w:firstLine="1280" w:firstLineChars="400"/>
        <w:outlineLvl w:val="1"/>
        <w:rPr>
          <w:rStyle w:val="26"/>
          <w:rFonts w:hint="eastAsia" w:ascii="黑体" w:hAnsi="黑体" w:eastAsia="黑体"/>
          <w:b w:val="0"/>
          <w:lang w:val="en-US" w:eastAsia="zh-CN"/>
        </w:rPr>
      </w:pPr>
      <w:r>
        <w:rPr>
          <w:rFonts w:hint="eastAsia" w:ascii="仿宋_GB2312" w:eastAsia="仿宋_GB2312"/>
          <w:color w:val="000000"/>
          <w:sz w:val="32"/>
          <w:szCs w:val="32"/>
          <w:lang w:val="en-US" w:eastAsia="zh-CN"/>
        </w:rPr>
        <w:t>无</w:t>
      </w:r>
    </w:p>
    <w:p>
      <w:pPr>
        <w:pageBreakBefore w:val="0"/>
        <w:widowControl w:val="0"/>
        <w:numPr>
          <w:ilvl w:val="0"/>
          <w:numId w:val="3"/>
        </w:numPr>
        <w:kinsoku/>
        <w:wordWrap/>
        <w:overflowPunct/>
        <w:topLinePunct w:val="0"/>
        <w:autoSpaceDE/>
        <w:autoSpaceDN/>
        <w:bidi w:val="0"/>
        <w:adjustRightInd/>
        <w:snapToGrid/>
        <w:spacing w:line="600" w:lineRule="exact"/>
        <w:ind w:firstLine="640"/>
        <w:textAlignment w:val="auto"/>
        <w:outlineLvl w:val="1"/>
        <w:rPr>
          <w:rStyle w:val="26"/>
          <w:rFonts w:hint="eastAsia" w:ascii="黑体" w:hAnsi="黑体" w:eastAsia="黑体"/>
          <w:b w:val="0"/>
        </w:rPr>
      </w:pPr>
      <w:bookmarkStart w:id="42" w:name="_Toc15396612"/>
      <w:bookmarkStart w:id="43" w:name="_Toc15377221"/>
      <w:r>
        <w:rPr>
          <w:rStyle w:val="26"/>
          <w:rFonts w:hint="eastAsia" w:ascii="黑体" w:hAnsi="黑体" w:eastAsia="黑体"/>
          <w:b w:val="0"/>
        </w:rPr>
        <w:t>其他重要事项的情况说明</w:t>
      </w:r>
      <w:bookmarkEnd w:id="42"/>
      <w:bookmarkEnd w:id="43"/>
    </w:p>
    <w:p>
      <w:pPr>
        <w:spacing w:line="600" w:lineRule="exact"/>
        <w:ind w:firstLine="643" w:firstLineChars="200"/>
        <w:outlineLvl w:val="2"/>
        <w:rPr>
          <w:rFonts w:ascii="仿宋" w:hAnsi="仿宋" w:eastAsia="仿宋"/>
          <w:color w:val="auto"/>
          <w:sz w:val="32"/>
          <w:szCs w:val="32"/>
        </w:rPr>
      </w:pPr>
      <w:bookmarkStart w:id="44" w:name="_Toc15377222"/>
      <w:r>
        <w:rPr>
          <w:rFonts w:hint="eastAsia" w:ascii="仿宋" w:hAnsi="仿宋" w:eastAsia="仿宋"/>
          <w:b/>
          <w:color w:val="auto"/>
          <w:sz w:val="32"/>
          <w:szCs w:val="32"/>
        </w:rPr>
        <w:t>（一）机关运行经费支出情况</w:t>
      </w:r>
      <w:bookmarkEnd w:id="44"/>
    </w:p>
    <w:p>
      <w:pPr>
        <w:spacing w:line="60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无</w:t>
      </w:r>
    </w:p>
    <w:p>
      <w:pPr>
        <w:autoSpaceDE w:val="0"/>
        <w:autoSpaceDN w:val="0"/>
        <w:adjustRightInd w:val="0"/>
        <w:spacing w:line="600" w:lineRule="exact"/>
        <w:ind w:firstLine="643" w:firstLineChars="200"/>
        <w:jc w:val="left"/>
        <w:outlineLvl w:val="2"/>
        <w:rPr>
          <w:rFonts w:ascii="仿宋" w:hAnsi="仿宋" w:eastAsia="仿宋"/>
          <w:b/>
          <w:color w:val="auto"/>
          <w:sz w:val="32"/>
          <w:szCs w:val="32"/>
        </w:rPr>
      </w:pPr>
      <w:bookmarkStart w:id="45" w:name="_Toc15377223"/>
      <w:r>
        <w:rPr>
          <w:rFonts w:hint="eastAsia" w:ascii="仿宋" w:hAnsi="仿宋" w:eastAsia="仿宋"/>
          <w:b/>
          <w:color w:val="auto"/>
          <w:sz w:val="32"/>
          <w:szCs w:val="32"/>
        </w:rPr>
        <w:t>（二）政府采购支出情况</w:t>
      </w:r>
      <w:bookmarkEnd w:id="45"/>
    </w:p>
    <w:p>
      <w:pPr>
        <w:autoSpaceDE w:val="0"/>
        <w:autoSpaceDN w:val="0"/>
        <w:adjustRightInd w:val="0"/>
        <w:spacing w:line="600" w:lineRule="exact"/>
        <w:ind w:firstLine="640" w:firstLineChars="200"/>
        <w:jc w:val="left"/>
        <w:outlineLvl w:val="2"/>
        <w:rPr>
          <w:rFonts w:hint="eastAsia" w:ascii="仿宋_GB2312" w:eastAsia="仿宋_GB2312"/>
          <w:color w:val="auto"/>
          <w:sz w:val="32"/>
          <w:szCs w:val="32"/>
          <w:lang w:val="en-US" w:eastAsia="zh-CN"/>
        </w:rPr>
      </w:pPr>
      <w:bookmarkStart w:id="46" w:name="_Toc15377224"/>
      <w:r>
        <w:rPr>
          <w:rFonts w:hint="eastAsia" w:ascii="仿宋_GB2312" w:eastAsia="仿宋_GB2312"/>
          <w:color w:val="auto"/>
          <w:sz w:val="32"/>
          <w:szCs w:val="32"/>
          <w:lang w:val="en-US" w:eastAsia="zh-CN"/>
        </w:rPr>
        <w:t>无</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r>
        <w:rPr>
          <w:rFonts w:hint="eastAsia" w:ascii="仿宋" w:hAnsi="仿宋" w:eastAsia="仿宋"/>
          <w:b/>
          <w:color w:val="000000"/>
          <w:sz w:val="32"/>
          <w:szCs w:val="32"/>
        </w:rPr>
        <w:t>（</w:t>
      </w:r>
      <w:r>
        <w:rPr>
          <w:rFonts w:hint="eastAsia" w:ascii="仿宋" w:hAnsi="仿宋" w:eastAsia="仿宋"/>
          <w:b/>
          <w:color w:val="000000"/>
          <w:sz w:val="32"/>
          <w:szCs w:val="32"/>
          <w:lang w:val="en-US" w:eastAsia="zh-CN"/>
        </w:rPr>
        <w:t>三</w:t>
      </w:r>
      <w:r>
        <w:rPr>
          <w:rFonts w:hint="eastAsia" w:ascii="仿宋" w:hAnsi="仿宋" w:eastAsia="仿宋"/>
          <w:b/>
          <w:color w:val="000000"/>
          <w:sz w:val="32"/>
          <w:szCs w:val="32"/>
        </w:rPr>
        <w:t>）国有资产占有使用情况</w:t>
      </w:r>
      <w:bookmarkEnd w:id="46"/>
    </w:p>
    <w:p>
      <w:pPr>
        <w:autoSpaceDE w:val="0"/>
        <w:autoSpaceDN w:val="0"/>
        <w:adjustRightInd w:val="0"/>
        <w:spacing w:line="600" w:lineRule="exact"/>
        <w:ind w:firstLine="640" w:firstLineChars="200"/>
        <w:jc w:val="left"/>
        <w:rPr>
          <w:rFonts w:hint="eastAsia" w:ascii="仿宋" w:hAnsi="仿宋" w:eastAsia="仿宋"/>
          <w:b/>
          <w:color w:val="FF0000"/>
          <w:sz w:val="32"/>
          <w:szCs w:val="32"/>
        </w:rPr>
      </w:pPr>
      <w:r>
        <w:rPr>
          <w:rFonts w:hint="eastAsia" w:ascii="仿宋_GB2312" w:eastAsia="仿宋_GB2312"/>
          <w:color w:val="000000"/>
          <w:sz w:val="32"/>
          <w:szCs w:val="32"/>
        </w:rPr>
        <w:t>截至</w:t>
      </w: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w:t>
      </w:r>
      <w:r>
        <w:rPr>
          <w:rFonts w:hint="eastAsia" w:ascii="仿宋_GB2312" w:eastAsia="仿宋_GB2312"/>
          <w:color w:val="000000"/>
          <w:sz w:val="32"/>
          <w:szCs w:val="32"/>
          <w:lang w:val="en-US" w:eastAsia="zh-CN"/>
        </w:rPr>
        <w:t>四川省都江堰管理局</w:t>
      </w:r>
      <w:r>
        <w:rPr>
          <w:rFonts w:hint="eastAsia" w:ascii="仿宋_GB2312" w:eastAsia="仿宋_GB2312"/>
          <w:color w:val="000000"/>
          <w:sz w:val="32"/>
          <w:szCs w:val="32"/>
        </w:rPr>
        <w:t>共有车辆</w:t>
      </w:r>
      <w:r>
        <w:rPr>
          <w:rFonts w:hint="eastAsia" w:ascii="仿宋_GB2312" w:eastAsia="仿宋_GB2312"/>
          <w:color w:val="000000"/>
          <w:sz w:val="32"/>
          <w:szCs w:val="32"/>
          <w:lang w:val="en-US" w:eastAsia="zh-CN"/>
        </w:rPr>
        <w:t>10</w:t>
      </w:r>
      <w:r>
        <w:rPr>
          <w:rFonts w:hint="eastAsia" w:ascii="仿宋_GB2312" w:eastAsia="仿宋_GB2312"/>
          <w:color w:val="000000"/>
          <w:sz w:val="32"/>
          <w:szCs w:val="32"/>
        </w:rPr>
        <w:t>辆，其中：主要</w:t>
      </w:r>
      <w:r>
        <w:rPr>
          <w:rFonts w:hint="eastAsia" w:ascii="仿宋_GB2312" w:eastAsia="仿宋_GB2312"/>
          <w:color w:val="000000"/>
          <w:sz w:val="32"/>
          <w:szCs w:val="32"/>
          <w:lang w:val="en-US" w:eastAsia="zh-CN"/>
        </w:rPr>
        <w:t>特种专业技术用车1辆，</w:t>
      </w:r>
      <w:r>
        <w:rPr>
          <w:rFonts w:hint="eastAsia" w:ascii="仿宋_GB2312" w:eastAsia="仿宋_GB2312"/>
          <w:color w:val="000000"/>
          <w:sz w:val="32"/>
          <w:szCs w:val="32"/>
        </w:rPr>
        <w:t>其他用车</w:t>
      </w:r>
      <w:r>
        <w:rPr>
          <w:rFonts w:hint="eastAsia" w:ascii="仿宋_GB2312" w:eastAsia="仿宋_GB2312"/>
          <w:color w:val="000000"/>
          <w:sz w:val="32"/>
          <w:szCs w:val="32"/>
          <w:lang w:val="en-US" w:eastAsia="zh-CN"/>
        </w:rPr>
        <w:t>9</w:t>
      </w:r>
      <w:r>
        <w:rPr>
          <w:rFonts w:hint="eastAsia" w:ascii="仿宋_GB2312" w:eastAsia="仿宋_GB2312"/>
          <w:color w:val="000000"/>
          <w:sz w:val="32"/>
          <w:szCs w:val="32"/>
        </w:rPr>
        <w:t>辆</w:t>
      </w:r>
      <w:r>
        <w:rPr>
          <w:rFonts w:hint="eastAsia" w:ascii="仿宋_GB2312" w:eastAsia="仿宋_GB2312"/>
          <w:color w:val="000000"/>
          <w:sz w:val="32"/>
          <w:szCs w:val="32"/>
          <w:lang w:eastAsia="zh-CN"/>
        </w:rPr>
        <w:t>。</w:t>
      </w:r>
      <w:r>
        <w:rPr>
          <w:rFonts w:hint="eastAsia" w:ascii="仿宋_GB2312" w:eastAsia="仿宋_GB2312"/>
          <w:color w:val="000000" w:themeColor="text1"/>
          <w:sz w:val="32"/>
          <w:szCs w:val="32"/>
          <w14:textFill>
            <w14:solidFill>
              <w14:schemeClr w14:val="tx1"/>
            </w14:solidFill>
          </w14:textFill>
        </w:rPr>
        <w:t>其他用车主要是用于保障全局公务活动用车</w:t>
      </w:r>
      <w:r>
        <w:rPr>
          <w:rFonts w:hint="eastAsia" w:ascii="仿宋_GB2312" w:eastAsia="仿宋_GB2312"/>
          <w:color w:val="000000" w:themeColor="text1"/>
          <w:sz w:val="32"/>
          <w:szCs w:val="32"/>
          <w:lang w:val="en-US" w:eastAsia="zh-CN"/>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单价</w:t>
      </w:r>
      <w:r>
        <w:rPr>
          <w:rFonts w:ascii="仿宋_GB2312" w:eastAsia="仿宋_GB2312"/>
          <w:color w:val="000000" w:themeColor="text1"/>
          <w:sz w:val="32"/>
          <w:szCs w:val="32"/>
          <w14:textFill>
            <w14:solidFill>
              <w14:schemeClr w14:val="tx1"/>
            </w14:solidFill>
          </w14:textFill>
        </w:rPr>
        <w:t>50</w:t>
      </w:r>
      <w:r>
        <w:rPr>
          <w:rFonts w:hint="eastAsia" w:ascii="仿宋_GB2312" w:eastAsia="仿宋_GB2312"/>
          <w:color w:val="000000" w:themeColor="text1"/>
          <w:sz w:val="32"/>
          <w:szCs w:val="32"/>
          <w14:textFill>
            <w14:solidFill>
              <w14:schemeClr w14:val="tx1"/>
            </w14:solidFill>
          </w14:textFill>
        </w:rPr>
        <w:t>万元以上通用设备</w:t>
      </w:r>
      <w:r>
        <w:rPr>
          <w:rFonts w:hint="eastAsia" w:ascii="仿宋_GB2312" w:eastAsia="仿宋_GB2312"/>
          <w:color w:val="000000" w:themeColor="text1"/>
          <w:sz w:val="32"/>
          <w:szCs w:val="32"/>
          <w:lang w:val="en-US" w:eastAsia="zh-CN"/>
          <w14:textFill>
            <w14:solidFill>
              <w14:schemeClr w14:val="tx1"/>
            </w14:solidFill>
          </w14:textFill>
        </w:rPr>
        <w:t>32</w:t>
      </w:r>
      <w:r>
        <w:rPr>
          <w:rFonts w:hint="eastAsia" w:ascii="仿宋_GB2312" w:eastAsia="仿宋_GB2312"/>
          <w:color w:val="000000" w:themeColor="text1"/>
          <w:sz w:val="32"/>
          <w:szCs w:val="32"/>
          <w14:textFill>
            <w14:solidFill>
              <w14:schemeClr w14:val="tx1"/>
            </w14:solidFill>
          </w14:textFill>
        </w:rPr>
        <w:t>台，单价</w:t>
      </w:r>
      <w:r>
        <w:rPr>
          <w:rFonts w:ascii="仿宋_GB2312" w:eastAsia="仿宋_GB2312"/>
          <w:color w:val="000000" w:themeColor="text1"/>
          <w:sz w:val="32"/>
          <w:szCs w:val="32"/>
          <w14:textFill>
            <w14:solidFill>
              <w14:schemeClr w14:val="tx1"/>
            </w14:solidFill>
          </w14:textFill>
        </w:rPr>
        <w:t>100</w:t>
      </w:r>
      <w:r>
        <w:rPr>
          <w:rFonts w:hint="eastAsia" w:ascii="仿宋_GB2312" w:eastAsia="仿宋_GB2312"/>
          <w:color w:val="000000"/>
          <w:sz w:val="32"/>
          <w:szCs w:val="32"/>
        </w:rPr>
        <w:t>万元以上专用设备</w:t>
      </w:r>
      <w:r>
        <w:rPr>
          <w:rFonts w:hint="eastAsia" w:ascii="仿宋_GB2312" w:eastAsia="仿宋_GB2312"/>
          <w:color w:val="000000"/>
          <w:sz w:val="32"/>
          <w:szCs w:val="32"/>
          <w:lang w:val="en-US" w:eastAsia="zh-CN"/>
        </w:rPr>
        <w:t>7</w:t>
      </w:r>
      <w:r>
        <w:rPr>
          <w:rFonts w:hint="eastAsia" w:ascii="仿宋_GB2312" w:eastAsia="仿宋_GB2312"/>
          <w:color w:val="000000"/>
          <w:sz w:val="32"/>
          <w:szCs w:val="32"/>
        </w:rPr>
        <w:t>台。</w:t>
      </w:r>
    </w:p>
    <w:p>
      <w:pPr>
        <w:numPr>
          <w:ilvl w:val="0"/>
          <w:numId w:val="0"/>
        </w:numPr>
        <w:autoSpaceDE w:val="0"/>
        <w:autoSpaceDN w:val="0"/>
        <w:adjustRightInd w:val="0"/>
        <w:spacing w:line="600" w:lineRule="exact"/>
        <w:ind w:firstLine="643" w:firstLineChars="200"/>
        <w:jc w:val="left"/>
        <w:rPr>
          <w:rFonts w:hint="eastAsia" w:ascii="仿宋" w:hAnsi="仿宋" w:eastAsia="仿宋"/>
          <w:b/>
          <w:color w:val="auto"/>
          <w:sz w:val="32"/>
          <w:szCs w:val="32"/>
        </w:rPr>
      </w:pPr>
      <w:r>
        <w:rPr>
          <w:rFonts w:hint="eastAsia" w:ascii="仿宋" w:hAnsi="仿宋" w:eastAsia="仿宋"/>
          <w:b/>
          <w:color w:val="auto"/>
          <w:sz w:val="32"/>
          <w:szCs w:val="32"/>
          <w:lang w:eastAsia="zh-CN"/>
        </w:rPr>
        <w:t>（</w:t>
      </w:r>
      <w:r>
        <w:rPr>
          <w:rFonts w:hint="eastAsia" w:ascii="仿宋" w:hAnsi="仿宋" w:eastAsia="仿宋"/>
          <w:b/>
          <w:color w:val="auto"/>
          <w:sz w:val="32"/>
          <w:szCs w:val="32"/>
          <w:lang w:val="en-US" w:eastAsia="zh-CN"/>
        </w:rPr>
        <w:t>四</w:t>
      </w:r>
      <w:r>
        <w:rPr>
          <w:rFonts w:hint="eastAsia" w:ascii="仿宋" w:hAnsi="仿宋" w:eastAsia="仿宋"/>
          <w:b/>
          <w:color w:val="auto"/>
          <w:sz w:val="32"/>
          <w:szCs w:val="32"/>
          <w:lang w:eastAsia="zh-CN"/>
        </w:rPr>
        <w:t>）</w:t>
      </w:r>
      <w:r>
        <w:rPr>
          <w:rFonts w:hint="eastAsia" w:ascii="仿宋" w:hAnsi="仿宋" w:eastAsia="仿宋"/>
          <w:b/>
          <w:color w:val="auto"/>
          <w:sz w:val="32"/>
          <w:szCs w:val="32"/>
        </w:rPr>
        <w:t>预算绩效管理情况</w:t>
      </w:r>
    </w:p>
    <w:p>
      <w:pPr>
        <w:rPr>
          <w:rFonts w:ascii="仿宋" w:hAnsi="仿宋" w:eastAsia="仿宋" w:cs="宋体"/>
          <w:kern w:val="0"/>
          <w:sz w:val="32"/>
          <w:szCs w:val="32"/>
        </w:rPr>
      </w:pPr>
      <w:r>
        <w:rPr>
          <w:rFonts w:hint="eastAsia" w:ascii="仿宋" w:hAnsi="仿宋" w:eastAsia="仿宋" w:cs="仿宋_GB2312"/>
          <w:sz w:val="32"/>
          <w:szCs w:val="32"/>
        </w:rPr>
        <w:t xml:space="preserve">  根据预算绩效管理要求，本单位在2020年度预算编制阶段，组织对“都江堰灌区量测水设施”“都江堰灌区水利信息化（2018-2020年）”、“渠首日常维修养护”项目开展了预算事前绩效评估，对8个项目编制了绩效目标，预算执行过程中，选取6个项目开展绩效监控，年终执行完毕后，对8个项目开展了绩效目标完成情况自评。</w:t>
      </w:r>
    </w:p>
    <w:p>
      <w:pPr>
        <w:ind w:firstLine="640" w:firstLineChars="200"/>
        <w:rPr>
          <w:rFonts w:ascii="仿宋" w:hAnsi="仿宋" w:eastAsia="仿宋" w:cs="仿宋_GB2312"/>
          <w:sz w:val="32"/>
          <w:szCs w:val="32"/>
        </w:rPr>
      </w:pPr>
      <w:r>
        <w:rPr>
          <w:rFonts w:hint="eastAsia" w:ascii="仿宋" w:hAnsi="仿宋" w:eastAsia="仿宋" w:cs="楷体_GB2312"/>
          <w:sz w:val="32"/>
          <w:szCs w:val="32"/>
        </w:rPr>
        <w:t>1.项目绩效目标完成情况。</w:t>
      </w:r>
      <w:r>
        <w:rPr>
          <w:rFonts w:hint="eastAsia" w:ascii="仿宋" w:hAnsi="仿宋" w:eastAsia="仿宋" w:cs="楷体_GB2312"/>
          <w:sz w:val="32"/>
          <w:szCs w:val="32"/>
        </w:rPr>
        <w:br w:type="textWrapping"/>
      </w:r>
      <w:r>
        <w:rPr>
          <w:rFonts w:hint="eastAsia" w:ascii="仿宋" w:hAnsi="仿宋" w:eastAsia="仿宋" w:cs="仿宋_GB2312"/>
          <w:sz w:val="32"/>
          <w:szCs w:val="32"/>
        </w:rPr>
        <w:t xml:space="preserve">    本单位在2020年度部门决算中反映 “都江堰灌区水利信息化（2018-2020年）</w:t>
      </w:r>
      <w:r>
        <w:rPr>
          <w:rFonts w:ascii="仿宋" w:hAnsi="仿宋" w:eastAsia="仿宋" w:cs="仿宋_GB2312"/>
          <w:sz w:val="32"/>
          <w:szCs w:val="32"/>
        </w:rPr>
        <w:t>”</w:t>
      </w:r>
      <w:r>
        <w:rPr>
          <w:rFonts w:hint="eastAsia" w:ascii="仿宋" w:hAnsi="仿宋" w:eastAsia="仿宋" w:cs="仿宋_GB2312"/>
          <w:sz w:val="32"/>
          <w:szCs w:val="32"/>
        </w:rPr>
        <w:t>、“渠首日常维修养护”、“2020年定点扶贫帮扶项目”、“上年结转厅人事档案数字化集中管理档案室改造工程”、“上年结转主要输水通道控制断面水量监测设施建设工程”等5个项目绩效目标实际完成情况。</w:t>
      </w:r>
    </w:p>
    <w:p>
      <w:pPr>
        <w:adjustRightInd w:val="0"/>
        <w:snapToGrid w:val="0"/>
        <w:spacing w:line="360" w:lineRule="auto"/>
        <w:rPr>
          <w:rFonts w:ascii="仿宋" w:hAnsi="仿宋" w:eastAsia="仿宋" w:cs="宋体"/>
          <w:sz w:val="32"/>
          <w:szCs w:val="32"/>
        </w:rPr>
      </w:pPr>
      <w:r>
        <w:rPr>
          <w:rFonts w:hint="eastAsia" w:ascii="仿宋" w:hAnsi="仿宋" w:eastAsia="仿宋"/>
          <w:sz w:val="32"/>
          <w:szCs w:val="32"/>
        </w:rPr>
        <w:t xml:space="preserve">  （1）</w:t>
      </w:r>
      <w:r>
        <w:rPr>
          <w:rFonts w:hint="eastAsia" w:ascii="仿宋" w:hAnsi="仿宋" w:eastAsia="仿宋" w:cs="仿宋_GB2312"/>
          <w:sz w:val="32"/>
          <w:szCs w:val="32"/>
        </w:rPr>
        <w:t>“都江堰灌区水利信息化（2018-2020年）</w:t>
      </w:r>
      <w:r>
        <w:rPr>
          <w:rFonts w:ascii="仿宋" w:hAnsi="仿宋" w:eastAsia="仿宋" w:cs="仿宋_GB2312"/>
          <w:sz w:val="32"/>
          <w:szCs w:val="32"/>
        </w:rPr>
        <w:t>”</w:t>
      </w:r>
      <w:r>
        <w:rPr>
          <w:rFonts w:hint="eastAsia" w:ascii="仿宋" w:hAnsi="仿宋" w:eastAsia="仿宋" w:cs="仿宋_GB2312"/>
          <w:sz w:val="32"/>
          <w:szCs w:val="32"/>
        </w:rPr>
        <w:t>项目绩效目标完成情况综述。项目</w:t>
      </w:r>
      <w:r>
        <w:rPr>
          <w:rFonts w:hint="eastAsia" w:ascii="仿宋" w:hAnsi="仿宋" w:eastAsia="仿宋" w:cs="仿宋"/>
          <w:sz w:val="32"/>
          <w:szCs w:val="32"/>
        </w:rPr>
        <w:t>估算总投资25959万元，2020年预算数5738.31万元，执行数5738.31万元，完成预算的100%。全部建成后，通过项目实施，</w:t>
      </w:r>
      <w:r>
        <w:rPr>
          <w:rFonts w:hint="eastAsia" w:ascii="仿宋" w:hAnsi="仿宋" w:eastAsia="仿宋" w:cs="宋体"/>
          <w:sz w:val="32"/>
          <w:szCs w:val="32"/>
        </w:rPr>
        <w:t>充分运用物联网、云计算、大数据等新兴信息技术，构建“一个平台、两个中心、三大体系”，实现都江堰灌区信息全面感知呈现、水资源高效管理、防汛科学调度、工程标准化运行、业务在线协同、保障安全可靠的总体目标。</w:t>
      </w:r>
    </w:p>
    <w:p>
      <w:pPr>
        <w:spacing w:line="590" w:lineRule="exact"/>
        <w:ind w:left="16" w:firstLine="420" w:firstLineChars="200"/>
        <w:rPr>
          <w:rFonts w:ascii="仿宋" w:hAnsi="仿宋" w:eastAsia="仿宋" w:cs="仿宋"/>
          <w:sz w:val="32"/>
          <w:szCs w:val="32"/>
        </w:rPr>
      </w:pPr>
      <w:r>
        <w:rPr>
          <w:rFonts w:hint="eastAsia" w:ascii="仿宋" w:hAnsi="仿宋" w:eastAsia="仿宋"/>
        </w:rPr>
        <w:t xml:space="preserve"> </w:t>
      </w:r>
      <w:r>
        <w:rPr>
          <w:rFonts w:hint="eastAsia" w:ascii="仿宋" w:hAnsi="仿宋" w:eastAsia="仿宋"/>
          <w:sz w:val="32"/>
          <w:szCs w:val="32"/>
        </w:rPr>
        <w:t xml:space="preserve"> （2）</w:t>
      </w:r>
      <w:r>
        <w:rPr>
          <w:rFonts w:hint="eastAsia" w:ascii="仿宋" w:hAnsi="仿宋" w:eastAsia="仿宋" w:cs="仿宋_GB2312"/>
          <w:sz w:val="32"/>
          <w:szCs w:val="32"/>
        </w:rPr>
        <w:t>“渠首日常维修养护” 项目绩效目标完成情况综述。项目全</w:t>
      </w:r>
      <w:r>
        <w:rPr>
          <w:rFonts w:hint="eastAsia" w:ascii="仿宋" w:hAnsi="仿宋" w:eastAsia="仿宋" w:cs="仿宋"/>
          <w:sz w:val="32"/>
          <w:szCs w:val="32"/>
        </w:rPr>
        <w:t>年预算数832万元，执行数623.41万元，完成预算的74.93%。通过项目实施，确保都江堰渠首水利工程安全运行，保障都江堰灌区供水安全。存在主要问题:都江堰渠首水利工程地处都江堰城区和核心景区，周边环境复杂，且每年汛期上游来水具有不确定性，对年度所需的防汛应急抢险等维修资金无法准确估算。都江堰渠首水利工程特殊性，在每年12月至来年3月属枯水期，在此期间将对水工设施及堤防、河道进行检查，有些需要维修整治的项目将无法及时的在每年年底前上报到来年的财政预算计划中。</w:t>
      </w:r>
    </w:p>
    <w:p>
      <w:pPr>
        <w:rPr>
          <w:rFonts w:ascii="仿宋" w:hAnsi="仿宋" w:eastAsia="仿宋" w:cs="仿宋_GB2312"/>
          <w:color w:val="000000"/>
          <w:sz w:val="32"/>
          <w:szCs w:val="32"/>
        </w:rPr>
      </w:pPr>
      <w:r>
        <w:rPr>
          <w:rFonts w:hint="eastAsia" w:ascii="仿宋" w:hAnsi="仿宋" w:eastAsia="仿宋" w:cs="仿宋"/>
          <w:sz w:val="32"/>
          <w:szCs w:val="32"/>
        </w:rPr>
        <w:t xml:space="preserve">   （3）</w:t>
      </w:r>
      <w:r>
        <w:rPr>
          <w:rFonts w:hint="eastAsia" w:ascii="仿宋" w:hAnsi="仿宋" w:eastAsia="仿宋" w:cs="仿宋_GB2312"/>
          <w:sz w:val="32"/>
          <w:szCs w:val="32"/>
        </w:rPr>
        <w:t>“2020年定点扶贫帮扶项目” 项目绩效目标完成情况综述。项目全</w:t>
      </w:r>
      <w:r>
        <w:rPr>
          <w:rFonts w:hint="eastAsia" w:ascii="仿宋" w:hAnsi="仿宋" w:eastAsia="仿宋" w:cs="仿宋"/>
          <w:sz w:val="32"/>
          <w:szCs w:val="32"/>
        </w:rPr>
        <w:t>年预算数676.2万元，执行数579.73万元，完成预算的85.73%。通过项目实施，</w:t>
      </w:r>
      <w:r>
        <w:rPr>
          <w:rFonts w:hint="eastAsia" w:ascii="仿宋" w:hAnsi="仿宋" w:eastAsia="仿宋" w:cs="仿宋_GB2312"/>
          <w:sz w:val="32"/>
          <w:szCs w:val="32"/>
        </w:rPr>
        <w:t>使帮扶地在安全饮水上达到全覆盖；村民通过产业帮扶，发展庭院经济，不仅自给自足吃上自己亲手种植的蔬菜，还增加了经济收入；教育帮扶促进当地教育事业发展，帮助贫困地区学生顺利完成学业；基础设施帮扶，使竹庆镇在汛期防洪压力得到根本性解决，方便了康公村岩乌山周边群众出行；就业帮扶为收入疑似不达标的困难户和边缘户提供公益性岗位，防止出现返贫。全村的道路设施、产业项目、安全用水等均得到较大的提升和保障，帮扶地老百姓对我局的帮扶表示极大肯定和感谢。发现的</w:t>
      </w:r>
      <w:r>
        <w:rPr>
          <w:rFonts w:hint="eastAsia" w:ascii="仿宋" w:hAnsi="仿宋" w:eastAsia="仿宋"/>
          <w:sz w:val="32"/>
          <w:szCs w:val="32"/>
        </w:rPr>
        <w:t>主要问题：</w:t>
      </w:r>
      <w:r>
        <w:rPr>
          <w:rFonts w:hint="eastAsia" w:ascii="仿宋" w:hAnsi="仿宋" w:eastAsia="仿宋" w:cs="仿宋_GB2312"/>
          <w:sz w:val="32"/>
          <w:szCs w:val="32"/>
        </w:rPr>
        <w:t>一是</w:t>
      </w:r>
      <w:r>
        <w:rPr>
          <w:rFonts w:ascii="仿宋" w:hAnsi="仿宋" w:eastAsia="仿宋" w:cs="仿宋_GB2312"/>
          <w:sz w:val="32"/>
          <w:szCs w:val="32"/>
        </w:rPr>
        <w:t>受疫情影响，未能组织帮扶地镇村干部、党员和困难学生到都江堰灌区学习交流。二是部分帮扶项目资金与帮扶地的实际需求尚有差距，需要结对帮扶地的各级帮扶单位齐心协力，共同支持。三</w:t>
      </w:r>
      <w:r>
        <w:rPr>
          <w:rFonts w:hint="eastAsia" w:ascii="仿宋" w:hAnsi="仿宋" w:eastAsia="仿宋" w:cs="仿宋_GB2312"/>
          <w:sz w:val="32"/>
          <w:szCs w:val="32"/>
        </w:rPr>
        <w:t>是帮扶地集体经济单一、薄弱，没有实质的产业带动集体经济增收，可持续性较差。下一步改进措施：</w:t>
      </w:r>
      <w:r>
        <w:rPr>
          <w:rFonts w:hint="eastAsia" w:ascii="仿宋" w:hAnsi="仿宋" w:eastAsia="仿宋" w:cs="仿宋_GB2312"/>
          <w:color w:val="000000"/>
          <w:sz w:val="32"/>
          <w:szCs w:val="32"/>
        </w:rPr>
        <w:t>在巩固脱贫攻坚成果同乡村振兴有效衔接上下功夫，充分发挥水利专业优势，指导帮扶地理清发展思路、选准振兴路径、落实具体措施，继续在教育、医疗、产业帮扶上下功夫。</w:t>
      </w:r>
    </w:p>
    <w:p>
      <w:pPr>
        <w:pStyle w:val="2"/>
        <w:spacing w:before="93"/>
        <w:rPr>
          <w:rFonts w:ascii="仿宋" w:hAnsi="仿宋" w:eastAsia="仿宋" w:cs="宋体"/>
          <w:sz w:val="32"/>
          <w:szCs w:val="32"/>
        </w:rPr>
      </w:pPr>
      <w:r>
        <w:rPr>
          <w:rFonts w:hint="eastAsia" w:ascii="仿宋" w:hAnsi="仿宋" w:eastAsia="仿宋"/>
        </w:rPr>
        <w:t xml:space="preserve">   </w:t>
      </w:r>
      <w:r>
        <w:rPr>
          <w:rFonts w:hint="eastAsia" w:ascii="仿宋" w:hAnsi="仿宋" w:eastAsia="仿宋"/>
          <w:sz w:val="32"/>
          <w:szCs w:val="32"/>
        </w:rPr>
        <w:t>（4）</w:t>
      </w:r>
      <w:r>
        <w:rPr>
          <w:rFonts w:hint="eastAsia" w:ascii="仿宋" w:hAnsi="仿宋" w:eastAsia="仿宋" w:cs="仿宋_GB2312"/>
          <w:sz w:val="32"/>
          <w:szCs w:val="32"/>
        </w:rPr>
        <w:t>“上年结转厅人事档案数字化集中管理档案室改造工程” 项目绩效目标完成情况综述。项目全</w:t>
      </w:r>
      <w:r>
        <w:rPr>
          <w:rFonts w:hint="eastAsia" w:ascii="仿宋" w:hAnsi="仿宋" w:eastAsia="仿宋" w:cs="仿宋"/>
          <w:sz w:val="32"/>
          <w:szCs w:val="32"/>
        </w:rPr>
        <w:t>年预算数214.27万元，执行数201.44万元，完成预算的94.01%。通过项目实施，</w:t>
      </w:r>
      <w:r>
        <w:rPr>
          <w:rFonts w:hint="eastAsia" w:ascii="仿宋" w:hAnsi="仿宋" w:eastAsia="仿宋" w:cs="宋体"/>
          <w:sz w:val="32"/>
          <w:szCs w:val="32"/>
        </w:rPr>
        <w:t>满足了办公室、档案查阅室、微机整理室、档案库房等功能区域分开要求；档案库存可以满足存放6786卷档案，满足中长期对库容量的需求；实现人事档案室高智能化管理的要求；安保、消防、温控和防潮等环境控制系统达到安全性、实用性、先进性和可扩展性要求。项目符合中共四川省委组织部《关于印发&lt;省属单位管理的干部人事档案数字化工作实施方案&gt;的通知》中有关对防火、防潮、防蛀、防盗、防光、防高温等要求。</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(5)</w:t>
      </w:r>
      <w:r>
        <w:rPr>
          <w:rFonts w:hint="eastAsia" w:ascii="仿宋" w:hAnsi="仿宋" w:eastAsia="仿宋" w:cs="仿宋_GB2312"/>
          <w:sz w:val="32"/>
          <w:szCs w:val="32"/>
        </w:rPr>
        <w:t xml:space="preserve"> “上年结转主要输水通道控制断面水量监测设施建设工程” 项目绩效目标完成情况综述。项目全</w:t>
      </w:r>
      <w:r>
        <w:rPr>
          <w:rFonts w:hint="eastAsia" w:ascii="仿宋" w:hAnsi="仿宋" w:eastAsia="仿宋" w:cs="仿宋"/>
          <w:sz w:val="32"/>
          <w:szCs w:val="32"/>
        </w:rPr>
        <w:t>年预算数297.5万元，执行数287.26万元，完成预算的96.56%。</w:t>
      </w:r>
      <w:r>
        <w:rPr>
          <w:rFonts w:hint="eastAsia" w:ascii="仿宋" w:hAnsi="仿宋" w:eastAsia="仿宋"/>
          <w:color w:val="000000"/>
          <w:kern w:val="0"/>
          <w:sz w:val="32"/>
          <w:szCs w:val="32"/>
        </w:rPr>
        <w:t>通过项目的投资建设完成了都江堰灌区渠首9条主要输水通道控制断面水量在线监测设施建设，流量、水位等水文测验参数都可以实现长期自记、自动传输、处理、存储；水情报汛迅速、及时；开发统一的测站信息接收平台，不仅实现了数据接收的统一平台化管理，同时节省运行维护成本，提高系统的使用便捷性和运行维护效率，为水资源的科学配置、调度、管理保护和防汛抗旱工作提供科学依据，有效提升了灌区的自动监测能力和信息化水平，有效的利用了建设资金，充分发挥了投资效益，最大限度的实现了投资目标。</w:t>
      </w:r>
    </w:p>
    <w:tbl>
      <w:tblPr>
        <w:tblStyle w:val="13"/>
        <w:tblpPr w:leftFromText="180" w:rightFromText="180" w:vertAnchor="text" w:horzAnchor="page" w:tblpXSpec="center" w:tblpY="423"/>
        <w:tblOverlap w:val="never"/>
        <w:tblW w:w="9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0"/>
        <w:gridCol w:w="1367"/>
        <w:gridCol w:w="1025"/>
        <w:gridCol w:w="2392"/>
        <w:gridCol w:w="2394"/>
        <w:gridCol w:w="2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4" w:hRule="atLeast"/>
          <w:jc w:val="center"/>
        </w:trPr>
        <w:tc>
          <w:tcPr>
            <w:tcW w:w="9894" w:type="dxa"/>
            <w:gridSpan w:val="6"/>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36"/>
                <w:szCs w:val="36"/>
              </w:rPr>
            </w:pPr>
            <w:r>
              <w:rPr>
                <w:rFonts w:hint="eastAsia" w:ascii="仿宋" w:hAnsi="仿宋" w:eastAsia="仿宋" w:cs="宋体"/>
                <w:b/>
                <w:bCs/>
                <w:kern w:val="0"/>
                <w:sz w:val="36"/>
                <w:szCs w:val="36"/>
              </w:rPr>
              <w:t>项目绩效目标完成情况表</w:t>
            </w:r>
            <w:r>
              <w:rPr>
                <w:rFonts w:hint="eastAsia" w:ascii="仿宋" w:hAnsi="仿宋" w:eastAsia="仿宋" w:cs="宋体"/>
                <w:b/>
                <w:bCs/>
                <w:kern w:val="0"/>
                <w:sz w:val="36"/>
                <w:szCs w:val="36"/>
              </w:rPr>
              <w:br w:type="textWrapping"/>
            </w:r>
            <w:r>
              <w:rPr>
                <w:rFonts w:hint="eastAsia" w:ascii="仿宋" w:hAnsi="仿宋" w:eastAsia="仿宋" w:cs="宋体"/>
                <w:kern w:val="0"/>
                <w:sz w:val="36"/>
                <w:szCs w:val="36"/>
              </w:rPr>
              <w:t>(2020年度)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78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项目名称</w:t>
            </w:r>
          </w:p>
        </w:tc>
        <w:tc>
          <w:tcPr>
            <w:tcW w:w="711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color w:val="000000"/>
                <w:kern w:val="0"/>
                <w:sz w:val="24"/>
              </w:rPr>
              <w:t>都江堰灌区水利信息化</w:t>
            </w:r>
            <w:r>
              <w:rPr>
                <w:rFonts w:hint="eastAsia" w:ascii="仿宋" w:hAnsi="仿宋" w:eastAsia="仿宋" w:cs="仿宋_GB2312"/>
                <w:sz w:val="24"/>
              </w:rPr>
              <w:t>（2018-2020年）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78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预算单位</w:t>
            </w:r>
          </w:p>
        </w:tc>
        <w:tc>
          <w:tcPr>
            <w:tcW w:w="711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四川省都江堰管理局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预算执行情况(万元)</w:t>
            </w: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预算数:</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5738.31</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执行数:</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5738.31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5738.31</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5738.31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1"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其它资金（自筹）:</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其它资金（自筹）:</w:t>
            </w:r>
          </w:p>
        </w:tc>
        <w:tc>
          <w:tcPr>
            <w:tcW w:w="2326" w:type="dxa"/>
            <w:tcBorders>
              <w:tl2br w:val="nil"/>
              <w:tr2bl w:val="nil"/>
            </w:tcBorders>
            <w:tcMar>
              <w:top w:w="15" w:type="dxa"/>
              <w:left w:w="15" w:type="dxa"/>
              <w:right w:w="15" w:type="dxa"/>
            </w:tcMar>
            <w:vAlign w:val="center"/>
          </w:tcPr>
          <w:p>
            <w:pPr>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年度目标完成情况</w:t>
            </w:r>
          </w:p>
        </w:tc>
        <w:tc>
          <w:tcPr>
            <w:tcW w:w="4784"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预期目标</w:t>
            </w:r>
          </w:p>
        </w:tc>
        <w:tc>
          <w:tcPr>
            <w:tcW w:w="4720"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9"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4784" w:type="dxa"/>
            <w:gridSpan w:val="3"/>
            <w:tcBorders>
              <w:tl2br w:val="nil"/>
              <w:tr2bl w:val="nil"/>
            </w:tcBorders>
            <w:tcMar>
              <w:top w:w="15" w:type="dxa"/>
              <w:left w:w="15" w:type="dxa"/>
              <w:right w:w="15" w:type="dxa"/>
            </w:tcMar>
            <w:vAlign w:val="center"/>
          </w:tcPr>
          <w:p>
            <w:pPr>
              <w:adjustRightInd w:val="0"/>
              <w:snapToGrid w:val="0"/>
              <w:spacing w:line="360" w:lineRule="auto"/>
              <w:rPr>
                <w:rFonts w:ascii="仿宋" w:hAnsi="仿宋" w:eastAsia="仿宋" w:cs="宋体"/>
                <w:szCs w:val="21"/>
              </w:rPr>
            </w:pPr>
            <w:r>
              <w:rPr>
                <w:rFonts w:hint="eastAsia" w:ascii="仿宋" w:hAnsi="仿宋" w:eastAsia="仿宋" w:cs="仿宋"/>
                <w:szCs w:val="21"/>
              </w:rPr>
              <w:t>全部建成后，通过项目实施，</w:t>
            </w:r>
            <w:r>
              <w:rPr>
                <w:rFonts w:hint="eastAsia" w:ascii="仿宋" w:hAnsi="仿宋" w:eastAsia="仿宋" w:cs="宋体"/>
                <w:szCs w:val="21"/>
              </w:rPr>
              <w:t>充分运用物联网、云计算、大数据等新兴信息技术，构建“一个平台、两个中心、三大体系”，实现都江堰灌区信息全面感知呈现、水资源高效管理、防汛科学调度、工程标准化运行、业务在线协同、保障安全可靠的总体目标。</w:t>
            </w:r>
          </w:p>
          <w:p>
            <w:pPr>
              <w:widowControl/>
              <w:jc w:val="center"/>
              <w:textAlignment w:val="center"/>
              <w:rPr>
                <w:rFonts w:ascii="仿宋" w:hAnsi="仿宋" w:eastAsia="仿宋" w:cs="宋体"/>
                <w:szCs w:val="21"/>
              </w:rPr>
            </w:pPr>
          </w:p>
        </w:tc>
        <w:tc>
          <w:tcPr>
            <w:tcW w:w="4720" w:type="dxa"/>
            <w:gridSpan w:val="2"/>
            <w:tcBorders>
              <w:tl2br w:val="nil"/>
              <w:tr2bl w:val="nil"/>
            </w:tcBorders>
            <w:tcMar>
              <w:top w:w="15" w:type="dxa"/>
              <w:left w:w="15" w:type="dxa"/>
              <w:right w:w="15" w:type="dxa"/>
            </w:tcMar>
            <w:vAlign w:val="center"/>
          </w:tcPr>
          <w:p>
            <w:pPr>
              <w:adjustRightInd w:val="0"/>
              <w:snapToGrid w:val="0"/>
              <w:spacing w:line="360" w:lineRule="auto"/>
              <w:ind w:firstLine="420" w:firstLineChars="200"/>
              <w:rPr>
                <w:rFonts w:ascii="仿宋" w:hAnsi="仿宋" w:eastAsia="仿宋" w:cs="宋体"/>
                <w:szCs w:val="21"/>
              </w:rPr>
            </w:pPr>
            <w:r>
              <w:rPr>
                <w:rFonts w:hint="eastAsia" w:ascii="仿宋" w:hAnsi="仿宋" w:eastAsia="仿宋" w:cs="宋体"/>
                <w:szCs w:val="21"/>
              </w:rPr>
              <w:t>完成了都江堰灌区水利信息化建设项目（第一阶段）初步设计报告。2020年7月21日省水利厅以《关于都江堰灌区水利信息化建设项目（第一阶段）初步设计报告的批复》（川水函[2020]931号）对项目第一阶段的建设内容和投资概算进行了批复，批复第一阶段项目概算投资1</w:t>
            </w:r>
            <w:r>
              <w:rPr>
                <w:rFonts w:ascii="仿宋" w:hAnsi="仿宋" w:eastAsia="仿宋" w:cs="宋体"/>
                <w:szCs w:val="21"/>
              </w:rPr>
              <w:t>.98</w:t>
            </w:r>
            <w:r>
              <w:rPr>
                <w:rFonts w:hint="eastAsia" w:ascii="仿宋" w:hAnsi="仿宋" w:eastAsia="仿宋" w:cs="宋体"/>
                <w:szCs w:val="21"/>
              </w:rPr>
              <w:t>亿元。2020年8月1日项目进入施工实施阶段。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绩效指标完成情况</w:t>
            </w: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一级指标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二级指标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三级指标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预期指标值(包含数字及文字描述)</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实际完成指标值(包含数字及文字描述)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项目完成指标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数量指标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年度工程建设任务量</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Cs w:val="21"/>
              </w:rPr>
              <w:t>数据平台子系统中数据综治系统</w:t>
            </w:r>
            <w:r>
              <w:rPr>
                <w:rFonts w:ascii="仿宋" w:hAnsi="仿宋" w:eastAsia="仿宋" w:cs="宋体"/>
                <w:color w:val="000000"/>
                <w:kern w:val="0"/>
                <w:szCs w:val="21"/>
              </w:rPr>
              <w:t>90</w:t>
            </w:r>
            <w:r>
              <w:rPr>
                <w:rFonts w:hint="eastAsia" w:ascii="仿宋" w:hAnsi="仿宋" w:eastAsia="仿宋" w:cs="宋体"/>
                <w:color w:val="000000"/>
                <w:kern w:val="0"/>
                <w:szCs w:val="21"/>
              </w:rPr>
              <w:t>%的工程量、信息资源建设中数据资源构建中的数据模型设计90%的工程量、数据资源目录90%的工程量，完成了应用支撑平台子系统中综合信息系统90%的工程量、综合运维系统35%的工程量，完成了公共信息服务子系统中统一移动工作平台中基础平台建设90%的工程量、统一移动工作平台中工程标准化移动应用系统60%的工程量、都江堰灌区信息网90%的工程量，完成了技术标准体系子系统中3项技术标准规范80%的工程等。完成投资工程量15154.49万元。</w:t>
            </w: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Cs w:val="21"/>
              </w:rPr>
              <w:t>数据平台子系统中数据综治系统</w:t>
            </w:r>
            <w:r>
              <w:rPr>
                <w:rFonts w:ascii="仿宋" w:hAnsi="仿宋" w:eastAsia="仿宋" w:cs="宋体"/>
                <w:color w:val="000000"/>
                <w:kern w:val="0"/>
                <w:szCs w:val="21"/>
              </w:rPr>
              <w:t>90</w:t>
            </w:r>
            <w:r>
              <w:rPr>
                <w:rFonts w:hint="eastAsia" w:ascii="仿宋" w:hAnsi="仿宋" w:eastAsia="仿宋" w:cs="宋体"/>
                <w:color w:val="000000"/>
                <w:kern w:val="0"/>
                <w:szCs w:val="21"/>
              </w:rPr>
              <w:t>%的工程量、信息资源建设中数据资源构建中的数据模型设计90%的工程量、数据资源目录90%的工程量，完成了应用支撑平台子系统中综合信息系统90%的工程量、综合运维系统35%的工程量，完成了公共信息服务子系统中统一移动工作平台中基础平台建设90%的工程量、统一移动工作平台中工程标准化移动应用系统60%的工程量、都江堰灌区信息网90%的工程量，完成了技术标准体系子系统中3项技术标准规范80%的工程等。完成投资工程量15154.49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项目完成指标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质量指标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年度工程质量合格率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color w:val="000000"/>
                <w:kern w:val="0"/>
                <w:sz w:val="24"/>
              </w:rPr>
              <w:t>≥90%</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color w:val="000000"/>
                <w:kern w:val="0"/>
                <w:sz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项目完成指标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时效指标</w:t>
            </w:r>
          </w:p>
        </w:tc>
        <w:tc>
          <w:tcPr>
            <w:tcW w:w="2392" w:type="dxa"/>
            <w:tcBorders>
              <w:tl2br w:val="nil"/>
              <w:tr2bl w:val="nil"/>
            </w:tcBorders>
            <w:tcMar>
              <w:top w:w="15" w:type="dxa"/>
              <w:left w:w="15" w:type="dxa"/>
              <w:right w:w="15" w:type="dxa"/>
            </w:tcMar>
            <w:vAlign w:val="center"/>
          </w:tcPr>
          <w:p>
            <w:pPr>
              <w:rPr>
                <w:rFonts w:ascii="仿宋" w:hAnsi="仿宋" w:eastAsia="仿宋" w:cs="宋体"/>
                <w:sz w:val="24"/>
              </w:rPr>
            </w:pPr>
            <w:r>
              <w:rPr>
                <w:rFonts w:hint="eastAsia" w:ascii="仿宋" w:hAnsi="仿宋" w:eastAsia="仿宋" w:cs="宋体"/>
                <w:sz w:val="24"/>
              </w:rPr>
              <w:t>在可研批复时间周期内完成</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r>
      <w:tr>
        <w:tblPrEx>
          <w:tblCellMar>
            <w:top w:w="0" w:type="dxa"/>
            <w:left w:w="0" w:type="dxa"/>
            <w:bottom w:w="0" w:type="dxa"/>
            <w:right w:w="0" w:type="dxa"/>
          </w:tblCellMar>
        </w:tblPrEx>
        <w:trPr>
          <w:trHeight w:val="1879"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项目完成指标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color w:val="000000"/>
                <w:kern w:val="0"/>
                <w:sz w:val="24"/>
              </w:rPr>
            </w:pPr>
            <w:r>
              <w:rPr>
                <w:rFonts w:hint="eastAsia" w:ascii="仿宋" w:hAnsi="仿宋" w:eastAsia="仿宋" w:cs="宋体"/>
                <w:color w:val="000000"/>
                <w:kern w:val="0"/>
                <w:sz w:val="24"/>
              </w:rPr>
              <w:t>成本指标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概算控制符合要求</w:t>
            </w:r>
          </w:p>
        </w:tc>
        <w:tc>
          <w:tcPr>
            <w:tcW w:w="2394" w:type="dxa"/>
            <w:tcBorders>
              <w:tl2br w:val="nil"/>
              <w:tr2bl w:val="nil"/>
            </w:tcBorders>
            <w:tcMar>
              <w:top w:w="15" w:type="dxa"/>
              <w:left w:w="15" w:type="dxa"/>
              <w:right w:w="15" w:type="dxa"/>
            </w:tcMar>
            <w:vAlign w:val="center"/>
          </w:tcPr>
          <w:p>
            <w:pPr>
              <w:widowControl/>
              <w:jc w:val="left"/>
              <w:rPr>
                <w:rFonts w:ascii="仿宋" w:hAnsi="仿宋" w:eastAsia="仿宋" w:cs="宋体"/>
                <w:szCs w:val="21"/>
              </w:rPr>
            </w:pPr>
            <w:r>
              <w:rPr>
                <w:rFonts w:ascii="仿宋" w:hAnsi="仿宋" w:eastAsia="仿宋"/>
                <w:szCs w:val="21"/>
              </w:rPr>
              <w:t>水</w:t>
            </w:r>
            <w:r>
              <w:rPr>
                <w:rFonts w:hint="eastAsia" w:ascii="仿宋" w:hAnsi="仿宋" w:eastAsia="仿宋" w:cs="宋体"/>
                <w:szCs w:val="21"/>
              </w:rPr>
              <w:t>利厅以</w:t>
            </w:r>
            <w:r>
              <w:rPr>
                <w:rFonts w:hint="eastAsia" w:ascii="仿宋" w:hAnsi="仿宋" w:eastAsia="仿宋" w:cs="宋体"/>
                <w:color w:val="000000"/>
                <w:kern w:val="0"/>
                <w:szCs w:val="21"/>
              </w:rPr>
              <w:t>川水函〔2020〕931号</w:t>
            </w:r>
            <w:r>
              <w:rPr>
                <w:rFonts w:hint="eastAsia" w:ascii="仿宋" w:hAnsi="仿宋" w:eastAsia="仿宋" w:cs="宋体"/>
                <w:szCs w:val="21"/>
              </w:rPr>
              <w:t>文批复该项目第一阶段初设</w:t>
            </w:r>
            <w:r>
              <w:rPr>
                <w:rFonts w:hint="eastAsia" w:ascii="仿宋" w:hAnsi="仿宋" w:eastAsia="仿宋" w:cs="宋体"/>
                <w:color w:val="000000"/>
                <w:kern w:val="0"/>
                <w:szCs w:val="21"/>
              </w:rPr>
              <w:t>概算总投资为19800万元。其中工程建设费为 18189.68万元。</w:t>
            </w:r>
          </w:p>
          <w:p>
            <w:pPr>
              <w:widowControl/>
              <w:jc w:val="left"/>
              <w:rPr>
                <w:rFonts w:ascii="仿宋" w:hAnsi="仿宋" w:eastAsia="仿宋"/>
                <w:szCs w:val="21"/>
              </w:rPr>
            </w:pPr>
          </w:p>
          <w:p>
            <w:pPr>
              <w:widowControl/>
              <w:jc w:val="center"/>
              <w:textAlignment w:val="center"/>
              <w:rPr>
                <w:rFonts w:ascii="仿宋" w:hAnsi="仿宋" w:eastAsia="仿宋" w:cs="宋体"/>
                <w:szCs w:val="21"/>
              </w:rPr>
            </w:pPr>
          </w:p>
        </w:tc>
        <w:tc>
          <w:tcPr>
            <w:tcW w:w="2326" w:type="dxa"/>
            <w:tcBorders>
              <w:tl2br w:val="nil"/>
              <w:tr2bl w:val="nil"/>
            </w:tcBorders>
            <w:tcMar>
              <w:top w:w="15" w:type="dxa"/>
              <w:left w:w="15" w:type="dxa"/>
              <w:right w:w="15" w:type="dxa"/>
            </w:tcMar>
            <w:vAlign w:val="center"/>
          </w:tcPr>
          <w:p>
            <w:pPr>
              <w:widowControl/>
              <w:ind w:right="-223" w:rightChars="-106"/>
              <w:textAlignment w:val="center"/>
              <w:rPr>
                <w:rFonts w:ascii="仿宋" w:hAnsi="仿宋" w:eastAsia="仿宋" w:cs="宋体"/>
                <w:szCs w:val="21"/>
              </w:rPr>
            </w:pPr>
            <w:r>
              <w:rPr>
                <w:rFonts w:hint="eastAsia" w:ascii="仿宋" w:hAnsi="仿宋" w:eastAsia="仿宋" w:cs="宋体"/>
                <w:szCs w:val="21"/>
              </w:rPr>
              <w:t>截止2020年12月底，已按合同约定实际支付工程建设费11649.08万元，完成</w:t>
            </w:r>
            <w:r>
              <w:rPr>
                <w:rFonts w:hint="eastAsia" w:ascii="仿宋" w:hAnsi="仿宋" w:eastAsia="仿宋" w:cs="宋体"/>
                <w:color w:val="000000"/>
                <w:kern w:val="0"/>
                <w:szCs w:val="21"/>
              </w:rPr>
              <w:t>工程建设费</w:t>
            </w:r>
            <w:r>
              <w:rPr>
                <w:rFonts w:hint="eastAsia" w:ascii="仿宋" w:hAnsi="仿宋" w:eastAsia="仿宋" w:cs="宋体"/>
                <w:szCs w:val="21"/>
              </w:rPr>
              <w:t>概算64.04%。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效益指标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经济效益指标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Cs w:val="21"/>
              </w:rPr>
              <w:t>使都江堰灌区管理从粗放式管理向精细化管理过度，实现雨情、水情、工情、土壤墒情数据、农作物结构及需水量的实时化，为会商、决策、调度提供科学依据，同时，实现灌区无纸化远程会商、办公、调度，为实现智慧化生态节水型灌区</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rPr>
              <w:t>达到预期</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rPr>
              <w:t>达到预期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效益指标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社会效益指标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为四川省水利项目提供数据处理，及时处理水情调度与水情会商</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color w:val="000000"/>
                <w:kern w:val="0"/>
                <w:sz w:val="24"/>
              </w:rPr>
              <w:t>达到预期</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color w:val="000000"/>
                <w:kern w:val="0"/>
                <w:sz w:val="24"/>
              </w:rPr>
              <w:t>达到预期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效益指标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生态效益指标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效益指标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color w:val="000000"/>
                <w:kern w:val="0"/>
                <w:sz w:val="24"/>
              </w:rPr>
              <w:t>可持续影响指标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建设方案和施工质量总体复核工程设计或有关规范标准</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仿宋"/>
                <w:color w:val="000000"/>
                <w:kern w:val="0"/>
                <w:sz w:val="28"/>
                <w:szCs w:val="28"/>
              </w:rPr>
              <w:t>≥80%</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仿宋"/>
                <w:color w:val="000000"/>
                <w:kern w:val="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390" w:type="dxa"/>
            <w:vMerge w:val="continue"/>
            <w:tcBorders>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满意度指标</w:t>
            </w:r>
          </w:p>
        </w:tc>
        <w:tc>
          <w:tcPr>
            <w:tcW w:w="1025" w:type="dxa"/>
            <w:tcBorders>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bottom w:val="nil"/>
              <w:tl2br w:val="nil"/>
              <w:tr2bl w:val="nil"/>
            </w:tcBorders>
            <w:tcMar>
              <w:top w:w="15" w:type="dxa"/>
              <w:left w:w="15" w:type="dxa"/>
              <w:right w:w="15" w:type="dxa"/>
            </w:tcMar>
            <w:vAlign w:val="center"/>
          </w:tcPr>
          <w:p>
            <w:pPr>
              <w:widowControl/>
              <w:jc w:val="left"/>
              <w:textAlignment w:val="center"/>
              <w:rPr>
                <w:rFonts w:ascii="仿宋" w:hAnsi="仿宋" w:eastAsia="仿宋" w:cs="仿宋"/>
                <w:color w:val="000000"/>
                <w:sz w:val="28"/>
                <w:szCs w:val="28"/>
              </w:rPr>
            </w:pPr>
            <w:r>
              <w:rPr>
                <w:rFonts w:hint="eastAsia" w:ascii="仿宋" w:hAnsi="仿宋" w:eastAsia="仿宋" w:cs="宋体"/>
                <w:color w:val="000000"/>
                <w:kern w:val="0"/>
                <w:sz w:val="24"/>
              </w:rPr>
              <w:t>受益群众基本满意的比例</w:t>
            </w:r>
          </w:p>
        </w:tc>
        <w:tc>
          <w:tcPr>
            <w:tcW w:w="2394" w:type="dxa"/>
            <w:tcBorders>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仿宋"/>
                <w:color w:val="000000"/>
                <w:kern w:val="0"/>
                <w:sz w:val="28"/>
                <w:szCs w:val="28"/>
              </w:rPr>
              <w:t>≥80%</w:t>
            </w:r>
          </w:p>
        </w:tc>
        <w:tc>
          <w:tcPr>
            <w:tcW w:w="2326" w:type="dxa"/>
            <w:tcBorders>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仿宋"/>
                <w:color w:val="000000"/>
                <w:kern w:val="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4" w:hRule="atLeast"/>
          <w:jc w:val="center"/>
        </w:trPr>
        <w:tc>
          <w:tcPr>
            <w:tcW w:w="9894" w:type="dxa"/>
            <w:gridSpan w:val="6"/>
            <w:tcBorders>
              <w:top w:val="nil"/>
              <w:left w:val="nil"/>
              <w:bottom w:val="nil"/>
              <w:right w:val="nil"/>
              <w:tl2br w:val="nil"/>
              <w:tr2bl w:val="nil"/>
            </w:tcBorders>
            <w:tcMar>
              <w:top w:w="15" w:type="dxa"/>
              <w:left w:w="15" w:type="dxa"/>
              <w:right w:w="15" w:type="dxa"/>
            </w:tcMar>
            <w:vAlign w:val="center"/>
          </w:tcPr>
          <w:tbl>
            <w:tblPr>
              <w:tblStyle w:val="13"/>
              <w:tblpPr w:leftFromText="180" w:rightFromText="180" w:vertAnchor="text" w:horzAnchor="page" w:tblpXSpec="center" w:tblpY="1473"/>
              <w:tblOverlap w:val="never"/>
              <w:tblW w:w="9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9"/>
              <w:gridCol w:w="1367"/>
              <w:gridCol w:w="1025"/>
              <w:gridCol w:w="2392"/>
              <w:gridCol w:w="2394"/>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3" w:type="dxa"/>
                  <w:gridSpan w:val="6"/>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36"/>
                      <w:szCs w:val="36"/>
                    </w:rPr>
                  </w:pPr>
                  <w:r>
                    <w:rPr>
                      <w:rFonts w:hint="eastAsia" w:ascii="仿宋" w:hAnsi="仿宋" w:eastAsia="仿宋" w:cs="宋体"/>
                      <w:b/>
                      <w:bCs/>
                      <w:kern w:val="0"/>
                      <w:sz w:val="36"/>
                      <w:szCs w:val="36"/>
                    </w:rPr>
                    <w:t>项目绩效目标完成情况表</w:t>
                  </w:r>
                  <w:r>
                    <w:rPr>
                      <w:rFonts w:hint="eastAsia" w:ascii="仿宋" w:hAnsi="仿宋" w:eastAsia="仿宋" w:cs="宋体"/>
                      <w:b/>
                      <w:bCs/>
                      <w:kern w:val="0"/>
                      <w:sz w:val="36"/>
                      <w:szCs w:val="36"/>
                    </w:rPr>
                    <w:br w:type="textWrapping"/>
                  </w:r>
                  <w:r>
                    <w:rPr>
                      <w:rFonts w:hint="eastAsia" w:ascii="仿宋" w:hAnsi="仿宋" w:eastAsia="仿宋" w:cs="宋体"/>
                      <w:kern w:val="0"/>
                      <w:sz w:val="36"/>
                      <w:szCs w:val="36"/>
                    </w:rPr>
                    <w:t>(2020年度)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941" w:type="dxa"/>
                  <w:gridSpan w:val="3"/>
                  <w:tcBorders>
                    <w:tl2br w:val="nil"/>
                    <w:tr2bl w:val="nil"/>
                  </w:tcBorders>
                  <w:tcMar>
                    <w:top w:w="15" w:type="dxa"/>
                    <w:left w:w="15" w:type="dxa"/>
                    <w:right w:w="15" w:type="dxa"/>
                  </w:tcMar>
                  <w:vAlign w:val="center"/>
                </w:tcPr>
                <w:p>
                  <w:pPr>
                    <w:widowControl/>
                    <w:ind w:left="-199" w:leftChars="-95" w:firstLine="0" w:firstLineChars="0"/>
                    <w:jc w:val="center"/>
                    <w:textAlignment w:val="center"/>
                    <w:rPr>
                      <w:rFonts w:ascii="仿宋" w:hAnsi="仿宋" w:eastAsia="仿宋" w:cs="宋体"/>
                      <w:sz w:val="24"/>
                    </w:rPr>
                  </w:pPr>
                  <w:r>
                    <w:rPr>
                      <w:rFonts w:hint="eastAsia" w:ascii="仿宋" w:hAnsi="仿宋" w:eastAsia="仿宋" w:cs="宋体"/>
                      <w:kern w:val="0"/>
                      <w:sz w:val="24"/>
                    </w:rPr>
                    <w:t>项目名称</w:t>
                  </w:r>
                </w:p>
              </w:tc>
              <w:tc>
                <w:tcPr>
                  <w:tcW w:w="693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渠首日常维修养护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941"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预算单位</w:t>
                  </w:r>
                </w:p>
              </w:tc>
              <w:tc>
                <w:tcPr>
                  <w:tcW w:w="693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四川省都江堰管理局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549"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预算执行情况(万元)</w:t>
                  </w: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预算数:</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832.0</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执行数:</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623.41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549"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1" w:hRule="atLeast"/>
                <w:jc w:val="center"/>
              </w:trPr>
              <w:tc>
                <w:tcPr>
                  <w:tcW w:w="549"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w:t>
                  </w:r>
                </w:p>
              </w:tc>
              <w:tc>
                <w:tcPr>
                  <w:tcW w:w="2392" w:type="dxa"/>
                  <w:tcBorders>
                    <w:tl2br w:val="nil"/>
                    <w:tr2bl w:val="nil"/>
                  </w:tcBorders>
                  <w:tcMar>
                    <w:top w:w="15" w:type="dxa"/>
                    <w:left w:w="15" w:type="dxa"/>
                    <w:right w:w="15" w:type="dxa"/>
                  </w:tcMar>
                  <w:vAlign w:val="center"/>
                </w:tcPr>
                <w:p>
                  <w:pPr>
                    <w:widowControl/>
                    <w:jc w:val="center"/>
                    <w:textAlignment w:val="center"/>
                    <w:rPr>
                      <w:rFonts w:hint="default" w:ascii="仿宋" w:hAnsi="仿宋" w:eastAsia="仿宋" w:cs="宋体"/>
                      <w:sz w:val="24"/>
                      <w:lang w:val="en-US" w:eastAsia="zh-CN"/>
                    </w:rPr>
                  </w:pPr>
                  <w:r>
                    <w:rPr>
                      <w:rFonts w:hint="eastAsia" w:ascii="仿宋" w:hAnsi="仿宋" w:eastAsia="仿宋" w:cs="宋体"/>
                      <w:sz w:val="24"/>
                    </w:rPr>
                    <w:t>832</w:t>
                  </w:r>
                  <w:r>
                    <w:rPr>
                      <w:rFonts w:hint="eastAsia" w:ascii="仿宋" w:hAnsi="仿宋" w:eastAsia="仿宋" w:cs="宋体"/>
                      <w:sz w:val="24"/>
                      <w:lang w:val="en-US" w:eastAsia="zh-CN"/>
                    </w:rPr>
                    <w:t>.0</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w:t>
                  </w:r>
                </w:p>
              </w:tc>
              <w:tc>
                <w:tcPr>
                  <w:tcW w:w="2146" w:type="dxa"/>
                  <w:tcBorders>
                    <w:right w:val="single" w:color="auto" w:sz="4" w:space="0"/>
                    <w:tl2br w:val="nil"/>
                    <w:tr2bl w:val="nil"/>
                  </w:tcBorders>
                  <w:tcMar>
                    <w:top w:w="15" w:type="dxa"/>
                    <w:left w:w="15" w:type="dxa"/>
                    <w:right w:w="15" w:type="dxa"/>
                  </w:tcMar>
                  <w:vAlign w:val="center"/>
                </w:tcPr>
                <w:p>
                  <w:pPr>
                    <w:jc w:val="center"/>
                    <w:rPr>
                      <w:rFonts w:ascii="仿宋" w:hAnsi="仿宋" w:eastAsia="仿宋" w:cs="宋体"/>
                      <w:sz w:val="24"/>
                    </w:rPr>
                  </w:pPr>
                  <w:r>
                    <w:rPr>
                      <w:rFonts w:hint="eastAsia" w:ascii="仿宋" w:hAnsi="仿宋" w:eastAsia="仿宋" w:cs="宋体"/>
                      <w:sz w:val="24"/>
                    </w:rPr>
                    <w:t>623.41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549"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年度目标完成情况</w:t>
                  </w:r>
                </w:p>
              </w:tc>
              <w:tc>
                <w:tcPr>
                  <w:tcW w:w="4784"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预期目标</w:t>
                  </w:r>
                </w:p>
              </w:tc>
              <w:tc>
                <w:tcPr>
                  <w:tcW w:w="4540"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9" w:hRule="atLeast"/>
                <w:jc w:val="center"/>
              </w:trPr>
              <w:tc>
                <w:tcPr>
                  <w:tcW w:w="549"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4784"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完成渠首管护范围内水利工程、水闸工程及其配套设施的维修整治，完成景区及内外江绿化和林地环境整治，并对渠首范围内的部分水利设施进行检测，确保渠首水利工程的安全运行，保障下游供水。共计22项如下：1、水闸防洪维护；2、水闸岁修；3、闸前捞渣；4、各闸点设施设备零星维修；5、治安消防及安全巡查；6、内江闸及外江闸群自动控制及视频监控系统维护；7、渠首水利工程绿化整治；8、渠首水利工程零星维修；9、渠首内外江河堤灌木杂草清理；10、水利工程检测（堤防、水闸、桥梁等）；11、渠首渔场苗圃养护工程；12、防汛应急抢险（含防汛物资的补充）；13、外江警示广播及视频监控系统维护；14、外江警示线、警示碑喷制工作；15、渠首内外江青石栏杆及地板维修；16、渠首人字堤溢洪道小索桥维修；17、水电设施维护；18、金刚堤、飞沙堰管理房屋面维修；19、防汛物资库房维修；20、林地环境整治；21、委托圣源公司管理景区（包括日常巡查、安全、卫生管理和游客的引导及综合管理）；22、水闸备品备件。</w:t>
                  </w:r>
                </w:p>
              </w:tc>
              <w:tc>
                <w:tcPr>
                  <w:tcW w:w="4540"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22项目标任务已全部完成，其中：7、渠首水利工程绿化整治；8、渠首水利工程零星维修；9、渠首内外江河堤灌木杂草清理；11、渠首渔场苗圃养护工程；12、防汛应急抢险（含防汛物资的补充）；13、外江警示广播及视频监控系统维护；14、外江警示线、警示碑喷制工作；15、渠首内外江青石栏杆及地板维修；17、水电设施维护；18、金刚堤、飞沙堰管理房屋面维修，项目办理决算审计中，待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绩效指标完成情况</w:t>
                  </w: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一级指标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二级指标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三级指标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预期指标值(包含数字及文字描述)</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实际完成指标值(包含数字及文字描述)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3"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项目完成指标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数量指标</w:t>
                  </w:r>
                </w:p>
              </w:tc>
              <w:tc>
                <w:tcPr>
                  <w:tcW w:w="2392" w:type="dxa"/>
                  <w:tcBorders>
                    <w:tl2br w:val="nil"/>
                    <w:tr2bl w:val="nil"/>
                  </w:tcBorders>
                  <w:tcMar>
                    <w:top w:w="15" w:type="dxa"/>
                    <w:left w:w="15" w:type="dxa"/>
                    <w:right w:w="15" w:type="dxa"/>
                  </w:tcMar>
                  <w:vAlign w:val="center"/>
                </w:tcPr>
                <w:p>
                  <w:pPr>
                    <w:jc w:val="center"/>
                    <w:rPr>
                      <w:rFonts w:ascii="仿宋" w:hAnsi="仿宋" w:eastAsia="仿宋"/>
                      <w:color w:val="000000"/>
                      <w:sz w:val="20"/>
                      <w:szCs w:val="20"/>
                    </w:rPr>
                  </w:pPr>
                  <w:r>
                    <w:rPr>
                      <w:rStyle w:val="31"/>
                      <w:rFonts w:hint="default" w:ascii="仿宋" w:hAnsi="仿宋" w:eastAsia="仿宋"/>
                    </w:rPr>
                    <w:t>闸室维修</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1座</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项目完成指标</w:t>
                  </w:r>
                </w:p>
              </w:tc>
              <w:tc>
                <w:tcPr>
                  <w:tcW w:w="1025"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数量指标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干渠镇底补烂</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328m3</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477.44m3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防汛应急抢险</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预备金</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4次（装载机91台时，吊车84台时，工人98工日）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kern w:val="0"/>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管理房维修及凉亭维修</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6座</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6座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桥梁检测</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10座</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10座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警示碑喷制</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240个</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220个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灌木及杂草清理</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75300m2</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69913.5m2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更换栏杆</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250m</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284.7m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更换青石地板</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800个</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822个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整理绿化用地</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57393.36m2</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61902.42m2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更换维修电缆线</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700m</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750m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零星闸点维修</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7座</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7座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项目完成指标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质量指标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验收合格率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100</w:t>
                  </w:r>
                  <w:r>
                    <w:rPr>
                      <w:rFonts w:hint="eastAsia" w:ascii="仿宋" w:hAnsi="仿宋" w:eastAsia="仿宋" w:cs="宋体"/>
                      <w:sz w:val="24"/>
                    </w:rPr>
                    <w:t>%</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100</w:t>
                  </w:r>
                  <w:r>
                    <w:rPr>
                      <w:rFonts w:hint="eastAsia" w:ascii="仿宋" w:hAnsi="仿宋" w:eastAsia="仿宋"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项目完成指标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时效指标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项目按期完成率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100</w:t>
                  </w:r>
                  <w:r>
                    <w:rPr>
                      <w:rFonts w:hint="eastAsia" w:ascii="仿宋" w:hAnsi="仿宋" w:eastAsia="仿宋" w:cs="宋体"/>
                      <w:sz w:val="24"/>
                    </w:rPr>
                    <w:t>%</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100</w:t>
                  </w:r>
                  <w:r>
                    <w:rPr>
                      <w:rFonts w:hint="eastAsia" w:ascii="仿宋" w:hAnsi="仿宋" w:eastAsia="仿宋"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项目完成指标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成本指标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投资控制达标率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100</w:t>
                  </w:r>
                  <w:r>
                    <w:rPr>
                      <w:rFonts w:hint="eastAsia" w:ascii="仿宋" w:hAnsi="仿宋" w:eastAsia="仿宋" w:cs="宋体"/>
                      <w:sz w:val="24"/>
                    </w:rPr>
                    <w:t>%</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100</w:t>
                  </w:r>
                  <w:r>
                    <w:rPr>
                      <w:rFonts w:hint="eastAsia" w:ascii="仿宋" w:hAnsi="仿宋" w:eastAsia="仿宋"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效益指标</w:t>
                  </w:r>
                </w:p>
              </w:tc>
              <w:tc>
                <w:tcPr>
                  <w:tcW w:w="1025"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社会效益指标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保障供水安全</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保障供水安全</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保障供水安全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保障人民群众生命财产安全</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保障人民群众生命财产安全</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保障都江堰渠首水利工程安全运行</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保障都江堰渠首水利工程安全运行</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全年无事故，渠首工程安全运行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效益指标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生态效益指标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保护渠首管护范围内的绿化环境</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保持绿化环境整洁</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保持绿化环境整洁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效益指标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可持续影响指标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保障2020年水利工程正常运行及供水安全</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安全度汛及供水安全</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安全度汛及供水安全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549"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满意度指标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群众满意度</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满意</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满意</w:t>
                  </w:r>
                </w:p>
              </w:tc>
              <w:tc>
                <w:tcPr>
                  <w:tcW w:w="214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满意</w:t>
                  </w:r>
                </w:p>
              </w:tc>
            </w:tr>
          </w:tbl>
          <w:p>
            <w:pPr>
              <w:spacing w:line="580" w:lineRule="exact"/>
              <w:ind w:left="630"/>
              <w:rPr>
                <w:rFonts w:ascii="仿宋" w:hAnsi="仿宋" w:eastAsia="仿宋" w:cs="仿宋_GB2312"/>
                <w:sz w:val="32"/>
                <w:szCs w:val="32"/>
              </w:rPr>
            </w:pPr>
          </w:p>
          <w:p>
            <w:pPr>
              <w:widowControl/>
              <w:jc w:val="center"/>
              <w:textAlignment w:val="center"/>
              <w:rPr>
                <w:rFonts w:ascii="仿宋" w:hAnsi="仿宋" w:eastAsia="仿宋" w:cs="宋体"/>
                <w:b/>
                <w:bCs/>
                <w:kern w:val="0"/>
                <w:sz w:val="36"/>
                <w:szCs w:val="36"/>
              </w:rPr>
            </w:pPr>
          </w:p>
          <w:p>
            <w:pPr>
              <w:pStyle w:val="2"/>
            </w:pPr>
          </w:p>
          <w:p>
            <w:pPr>
              <w:widowControl/>
              <w:jc w:val="center"/>
              <w:textAlignment w:val="center"/>
              <w:rPr>
                <w:rFonts w:ascii="仿宋" w:hAnsi="仿宋" w:eastAsia="仿宋" w:cs="宋体"/>
                <w:sz w:val="36"/>
                <w:szCs w:val="36"/>
              </w:rPr>
            </w:pPr>
            <w:r>
              <w:rPr>
                <w:rFonts w:hint="eastAsia" w:ascii="仿宋" w:hAnsi="仿宋" w:eastAsia="仿宋" w:cs="宋体"/>
                <w:b/>
                <w:bCs/>
                <w:kern w:val="0"/>
                <w:sz w:val="36"/>
                <w:szCs w:val="36"/>
              </w:rPr>
              <w:t>项目绩效目标完成情况表</w:t>
            </w:r>
            <w:r>
              <w:rPr>
                <w:rFonts w:hint="eastAsia" w:ascii="仿宋" w:hAnsi="仿宋" w:eastAsia="仿宋" w:cs="宋体"/>
                <w:b/>
                <w:bCs/>
                <w:kern w:val="0"/>
                <w:sz w:val="36"/>
                <w:szCs w:val="36"/>
              </w:rPr>
              <w:br w:type="textWrapping"/>
            </w:r>
            <w:r>
              <w:rPr>
                <w:rFonts w:hint="eastAsia" w:ascii="仿宋" w:hAnsi="仿宋" w:eastAsia="仿宋" w:cs="宋体"/>
                <w:kern w:val="0"/>
                <w:sz w:val="36"/>
                <w:szCs w:val="36"/>
              </w:rPr>
              <w:t>(2020年度)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782" w:type="dxa"/>
            <w:gridSpan w:val="3"/>
            <w:tcBorders>
              <w:top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项目名称</w:t>
            </w:r>
          </w:p>
        </w:tc>
        <w:tc>
          <w:tcPr>
            <w:tcW w:w="7112" w:type="dxa"/>
            <w:gridSpan w:val="3"/>
            <w:tcBorders>
              <w:top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仿宋_GB2312"/>
                <w:sz w:val="24"/>
              </w:rPr>
              <w:t>2020年定点扶贫帮扶项目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78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预算单位</w:t>
            </w:r>
          </w:p>
        </w:tc>
        <w:tc>
          <w:tcPr>
            <w:tcW w:w="711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四川省都江堰管理局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预算执行情况(万元)</w:t>
            </w: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预算数:</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676.2</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执行数:</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579.73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1"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676.2</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w:t>
            </w:r>
          </w:p>
        </w:tc>
        <w:tc>
          <w:tcPr>
            <w:tcW w:w="2326" w:type="dxa"/>
            <w:tcBorders>
              <w:tl2br w:val="nil"/>
              <w:tr2bl w:val="nil"/>
            </w:tcBorders>
            <w:tcMar>
              <w:top w:w="15" w:type="dxa"/>
              <w:left w:w="15" w:type="dxa"/>
              <w:right w:w="15" w:type="dxa"/>
            </w:tcMar>
            <w:vAlign w:val="center"/>
          </w:tcPr>
          <w:p>
            <w:pPr>
              <w:jc w:val="center"/>
              <w:rPr>
                <w:rFonts w:ascii="仿宋" w:hAnsi="仿宋" w:eastAsia="仿宋" w:cs="宋体"/>
                <w:sz w:val="24"/>
              </w:rPr>
            </w:pPr>
            <w:r>
              <w:rPr>
                <w:rFonts w:ascii="仿宋" w:hAnsi="仿宋" w:eastAsia="仿宋" w:cs="宋体"/>
                <w:sz w:val="24"/>
              </w:rPr>
              <w:t>579.73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年度目标完成情况</w:t>
            </w:r>
          </w:p>
        </w:tc>
        <w:tc>
          <w:tcPr>
            <w:tcW w:w="4784"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预期目标</w:t>
            </w:r>
          </w:p>
        </w:tc>
        <w:tc>
          <w:tcPr>
            <w:tcW w:w="4720"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实际完成目标</w:t>
            </w:r>
          </w:p>
        </w:tc>
      </w:tr>
      <w:tr>
        <w:tblPrEx>
          <w:tblCellMar>
            <w:top w:w="0" w:type="dxa"/>
            <w:left w:w="0" w:type="dxa"/>
            <w:bottom w:w="0" w:type="dxa"/>
            <w:right w:w="0" w:type="dxa"/>
          </w:tblCellMar>
        </w:tblPrEx>
        <w:trPr>
          <w:trHeight w:val="90"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4784" w:type="dxa"/>
            <w:gridSpan w:val="3"/>
            <w:tcBorders>
              <w:tl2br w:val="nil"/>
              <w:tr2bl w:val="nil"/>
            </w:tcBorders>
            <w:tcMar>
              <w:top w:w="15" w:type="dxa"/>
              <w:left w:w="15" w:type="dxa"/>
              <w:right w:w="15" w:type="dxa"/>
            </w:tcMar>
            <w:vAlign w:val="center"/>
          </w:tcPr>
          <w:p>
            <w:pPr>
              <w:widowControl/>
              <w:ind w:firstLine="480" w:firstLineChars="200"/>
              <w:jc w:val="left"/>
              <w:textAlignment w:val="center"/>
              <w:rPr>
                <w:rFonts w:ascii="仿宋" w:hAnsi="仿宋" w:eastAsia="仿宋" w:cs="宋体"/>
                <w:sz w:val="24"/>
              </w:rPr>
            </w:pPr>
            <w:r>
              <w:rPr>
                <w:rFonts w:hint="eastAsia" w:ascii="仿宋" w:hAnsi="仿宋" w:eastAsia="仿宋" w:cs="仿宋_GB2312"/>
                <w:sz w:val="24"/>
              </w:rPr>
              <w:t>认真贯彻落实省水利厅要求，严格落实脱贫攻坚政策，以摘帽销号为导向，以帮扶对象稳定脱贫为目标，明确脱贫攻坚正确方向，为帮扶地捐助扶贫帮扶资金，巩固脱贫成果。</w:t>
            </w:r>
          </w:p>
        </w:tc>
        <w:tc>
          <w:tcPr>
            <w:tcW w:w="4720" w:type="dxa"/>
            <w:gridSpan w:val="2"/>
            <w:tcBorders>
              <w:tl2br w:val="nil"/>
              <w:tr2bl w:val="nil"/>
            </w:tcBorders>
            <w:tcMar>
              <w:top w:w="15" w:type="dxa"/>
              <w:left w:w="15" w:type="dxa"/>
              <w:right w:w="15" w:type="dxa"/>
            </w:tcMar>
            <w:vAlign w:val="center"/>
          </w:tcPr>
          <w:p>
            <w:pPr>
              <w:widowControl/>
              <w:ind w:firstLine="480" w:firstLineChars="200"/>
              <w:jc w:val="left"/>
              <w:textAlignment w:val="center"/>
              <w:rPr>
                <w:rFonts w:ascii="仿宋" w:hAnsi="仿宋" w:eastAsia="仿宋" w:cs="仿宋_GB2312"/>
                <w:sz w:val="24"/>
              </w:rPr>
            </w:pPr>
            <w:r>
              <w:rPr>
                <w:rFonts w:ascii="仿宋" w:hAnsi="仿宋" w:eastAsia="仿宋" w:cs="仿宋_GB2312"/>
                <w:sz w:val="24"/>
              </w:rPr>
              <w:t>投</w:t>
            </w:r>
            <w:r>
              <w:rPr>
                <w:rFonts w:hint="eastAsia" w:ascii="仿宋" w:hAnsi="仿宋" w:eastAsia="仿宋" w:cs="仿宋_GB2312"/>
                <w:sz w:val="24"/>
              </w:rPr>
              <w:t>入</w:t>
            </w:r>
            <w:r>
              <w:rPr>
                <w:rFonts w:ascii="仿宋" w:hAnsi="仿宋" w:eastAsia="仿宋" w:cs="宋体"/>
                <w:sz w:val="24"/>
              </w:rPr>
              <w:t>579.73</w:t>
            </w:r>
            <w:r>
              <w:rPr>
                <w:rFonts w:ascii="仿宋" w:hAnsi="仿宋" w:eastAsia="仿宋" w:cs="仿宋_GB2312"/>
                <w:sz w:val="24"/>
              </w:rPr>
              <w:t>万元，开展基础设施建设帮扶、产业帮扶、教育帮扶</w:t>
            </w:r>
            <w:r>
              <w:rPr>
                <w:rFonts w:hint="eastAsia" w:ascii="仿宋" w:hAnsi="仿宋" w:eastAsia="仿宋" w:cs="仿宋_GB2312"/>
                <w:sz w:val="24"/>
              </w:rPr>
              <w:t>、</w:t>
            </w:r>
            <w:r>
              <w:rPr>
                <w:rFonts w:ascii="仿宋" w:hAnsi="仿宋" w:eastAsia="仿宋" w:cs="仿宋_GB2312"/>
                <w:sz w:val="24"/>
              </w:rPr>
              <w:t>爱心帮扶</w:t>
            </w:r>
            <w:r>
              <w:rPr>
                <w:rFonts w:hint="eastAsia" w:ascii="仿宋" w:hAnsi="仿宋" w:eastAsia="仿宋" w:cs="仿宋_GB2312"/>
                <w:sz w:val="24"/>
              </w:rPr>
              <w:t>和水利厅统筹资金帮扶</w:t>
            </w:r>
            <w:r>
              <w:rPr>
                <w:rFonts w:ascii="仿宋" w:hAnsi="仿宋" w:eastAsia="仿宋" w:cs="仿宋_GB2312"/>
                <w:sz w:val="24"/>
              </w:rPr>
              <w:t>等</w:t>
            </w:r>
            <w:r>
              <w:rPr>
                <w:rFonts w:hint="eastAsia" w:ascii="仿宋" w:hAnsi="仿宋" w:eastAsia="仿宋" w:cs="仿宋_GB2312"/>
                <w:sz w:val="24"/>
              </w:rPr>
              <w:t>22</w:t>
            </w:r>
            <w:r>
              <w:rPr>
                <w:rFonts w:ascii="仿宋" w:hAnsi="仿宋" w:eastAsia="仿宋" w:cs="仿宋_GB2312"/>
                <w:sz w:val="24"/>
              </w:rPr>
              <w:t>个帮扶项目</w:t>
            </w:r>
            <w:r>
              <w:rPr>
                <w:rFonts w:hint="eastAsia" w:ascii="仿宋" w:hAnsi="仿宋" w:eastAsia="仿宋" w:cs="仿宋_GB2312"/>
                <w:sz w:val="24"/>
              </w:rPr>
              <w:t>，</w:t>
            </w:r>
            <w:r>
              <w:rPr>
                <w:rFonts w:ascii="仿宋" w:hAnsi="仿宋" w:eastAsia="仿宋" w:cs="仿宋_GB2312"/>
                <w:sz w:val="24"/>
              </w:rPr>
              <w:t>为帮扶地</w:t>
            </w:r>
            <w:r>
              <w:rPr>
                <w:rFonts w:hint="eastAsia" w:ascii="仿宋" w:hAnsi="仿宋" w:eastAsia="仿宋" w:cs="仿宋_GB2312"/>
                <w:sz w:val="24"/>
              </w:rPr>
              <w:t>巩固脱贫成果</w:t>
            </w:r>
            <w:r>
              <w:rPr>
                <w:rFonts w:ascii="仿宋" w:hAnsi="仿宋" w:eastAsia="仿宋" w:cs="仿宋_GB2312"/>
                <w:sz w:val="24"/>
              </w:rPr>
              <w:t>打赢脱攻坚战贫夯实了基础</w:t>
            </w:r>
            <w:r>
              <w:rPr>
                <w:rFonts w:hint="eastAsia" w:ascii="仿宋" w:hAnsi="仿宋" w:eastAsia="仿宋" w:cs="仿宋_GB2312"/>
                <w:sz w:val="24"/>
              </w:rPr>
              <w:t>，圆满完成脱贫攻坚任务</w:t>
            </w:r>
            <w:r>
              <w:rPr>
                <w:rFonts w:ascii="仿宋" w:hAnsi="仿宋" w:eastAsia="仿宋" w:cs="仿宋_GB2312"/>
                <w:sz w:val="24"/>
              </w:rPr>
              <w:t>。</w:t>
            </w:r>
          </w:p>
          <w:p>
            <w:pPr>
              <w:widowControl/>
              <w:jc w:val="center"/>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4"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绩效指标完成情况</w:t>
            </w: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一级指标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二级指标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三级指标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预期指标值(包含数字及文字描述)</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实际完成指标值(包含数字及文字描述)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项目完成指标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数量指标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扶贫资金总投入</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计划投入302.9万元巩固帮扶地脱贫攻坚成果。</w:t>
            </w: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仿宋_GB2312"/>
                <w:sz w:val="24"/>
              </w:rPr>
            </w:pPr>
            <w:r>
              <w:rPr>
                <w:rFonts w:hint="eastAsia" w:ascii="仿宋" w:hAnsi="仿宋" w:eastAsia="仿宋" w:cs="仿宋_GB2312"/>
                <w:sz w:val="24"/>
              </w:rPr>
              <w:t>实际投入</w:t>
            </w:r>
            <w:r>
              <w:rPr>
                <w:rFonts w:ascii="仿宋" w:hAnsi="仿宋" w:eastAsia="仿宋" w:cs="宋体"/>
                <w:sz w:val="24"/>
              </w:rPr>
              <w:t>579.73</w:t>
            </w:r>
            <w:r>
              <w:rPr>
                <w:rFonts w:ascii="仿宋" w:hAnsi="仿宋" w:eastAsia="仿宋" w:cs="仿宋_GB2312"/>
                <w:sz w:val="24"/>
              </w:rPr>
              <w:t>万</w:t>
            </w:r>
            <w:r>
              <w:rPr>
                <w:rFonts w:hint="eastAsia" w:ascii="仿宋" w:hAnsi="仿宋" w:eastAsia="仿宋" w:cs="仿宋_GB2312"/>
                <w:sz w:val="24"/>
              </w:rPr>
              <w:t>元，</w:t>
            </w:r>
            <w:r>
              <w:rPr>
                <w:rFonts w:ascii="仿宋" w:hAnsi="仿宋" w:eastAsia="仿宋" w:cs="仿宋_GB2312"/>
                <w:sz w:val="24"/>
              </w:rPr>
              <w:t>开展基础设施建设帮扶、产业帮扶、教育帮扶</w:t>
            </w:r>
            <w:r>
              <w:rPr>
                <w:rFonts w:hint="eastAsia" w:ascii="仿宋" w:hAnsi="仿宋" w:eastAsia="仿宋" w:cs="仿宋_GB2312"/>
                <w:sz w:val="24"/>
              </w:rPr>
              <w:t>、</w:t>
            </w:r>
            <w:r>
              <w:rPr>
                <w:rFonts w:ascii="仿宋" w:hAnsi="仿宋" w:eastAsia="仿宋" w:cs="仿宋_GB2312"/>
                <w:sz w:val="24"/>
              </w:rPr>
              <w:t>爱心帮扶</w:t>
            </w:r>
            <w:r>
              <w:rPr>
                <w:rFonts w:hint="eastAsia" w:ascii="仿宋" w:hAnsi="仿宋" w:eastAsia="仿宋" w:cs="仿宋_GB2312"/>
                <w:sz w:val="24"/>
              </w:rPr>
              <w:t>和水利厅统筹资金帮扶</w:t>
            </w:r>
            <w:r>
              <w:rPr>
                <w:rFonts w:ascii="仿宋" w:hAnsi="仿宋" w:eastAsia="仿宋" w:cs="仿宋_GB2312"/>
                <w:sz w:val="24"/>
              </w:rPr>
              <w:t>等</w:t>
            </w:r>
            <w:r>
              <w:rPr>
                <w:rFonts w:hint="eastAsia" w:ascii="仿宋" w:hAnsi="仿宋" w:eastAsia="仿宋" w:cs="仿宋_GB2312"/>
                <w:sz w:val="24"/>
              </w:rPr>
              <w:t>22</w:t>
            </w:r>
            <w:r>
              <w:rPr>
                <w:rFonts w:ascii="仿宋" w:hAnsi="仿宋" w:eastAsia="仿宋" w:cs="仿宋_GB2312"/>
                <w:sz w:val="24"/>
              </w:rPr>
              <w:t>个帮扶项目</w:t>
            </w:r>
            <w:r>
              <w:rPr>
                <w:rFonts w:hint="eastAsia" w:ascii="仿宋" w:hAnsi="仿宋" w:eastAsia="仿宋" w:cs="仿宋_GB2312"/>
                <w:sz w:val="24"/>
              </w:rPr>
              <w:t>，</w:t>
            </w:r>
            <w:r>
              <w:rPr>
                <w:rFonts w:ascii="仿宋" w:hAnsi="仿宋" w:eastAsia="仿宋" w:cs="仿宋_GB2312"/>
                <w:sz w:val="24"/>
              </w:rPr>
              <w:t>为帮扶地</w:t>
            </w:r>
            <w:r>
              <w:rPr>
                <w:rFonts w:hint="eastAsia" w:ascii="仿宋" w:hAnsi="仿宋" w:eastAsia="仿宋" w:cs="仿宋_GB2312"/>
                <w:sz w:val="24"/>
              </w:rPr>
              <w:t>巩固了脱贫成果，圆满完成脱贫攻坚任务。</w:t>
            </w:r>
          </w:p>
          <w:p>
            <w:pPr>
              <w:widowControl/>
              <w:jc w:val="left"/>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项目完成指标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质量指标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ascii="仿宋" w:hAnsi="仿宋" w:eastAsia="仿宋" w:cs="宋体"/>
                <w:sz w:val="24"/>
              </w:rPr>
              <w:t>扶贫帮扶项目完成率</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仿宋_GB2312"/>
                <w:szCs w:val="21"/>
              </w:rPr>
              <w:t>严格执行省委省政府和水利厅关于脱贫攻坚的决策部署，</w:t>
            </w:r>
            <w:r>
              <w:rPr>
                <w:rFonts w:hint="eastAsia" w:ascii="仿宋" w:hAnsi="仿宋" w:eastAsia="仿宋" w:cs="宋体"/>
                <w:sz w:val="24"/>
              </w:rPr>
              <w:t>100％完成当年扶贫帮扶项目计划。</w:t>
            </w: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仿宋_GB2312"/>
                <w:sz w:val="24"/>
              </w:rPr>
            </w:pPr>
            <w:r>
              <w:rPr>
                <w:rFonts w:hint="eastAsia" w:ascii="仿宋" w:hAnsi="仿宋" w:eastAsia="仿宋" w:cs="仿宋_GB2312"/>
                <w:sz w:val="24"/>
              </w:rPr>
              <w:t>年底</w:t>
            </w:r>
            <w:r>
              <w:rPr>
                <w:rFonts w:hint="eastAsia" w:ascii="仿宋" w:hAnsi="仿宋" w:eastAsia="仿宋" w:cs="宋体"/>
                <w:sz w:val="24"/>
              </w:rPr>
              <w:t>100％</w:t>
            </w:r>
            <w:r>
              <w:rPr>
                <w:rFonts w:hint="eastAsia" w:ascii="仿宋" w:hAnsi="仿宋" w:eastAsia="仿宋" w:cs="仿宋_GB2312"/>
                <w:sz w:val="24"/>
              </w:rPr>
              <w:t>完成了当年各项脱贫攻坚项目。</w:t>
            </w:r>
          </w:p>
          <w:p>
            <w:pPr>
              <w:widowControl/>
              <w:jc w:val="left"/>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6"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kern w:val="0"/>
                <w:sz w:val="24"/>
              </w:rPr>
              <w:t>项目完成指标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质量指标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仿宋_GB2312"/>
                <w:sz w:val="24"/>
              </w:rPr>
            </w:pPr>
            <w:r>
              <w:rPr>
                <w:rFonts w:hint="eastAsia" w:ascii="仿宋" w:hAnsi="仿宋" w:eastAsia="仿宋" w:cs="仿宋_GB2312"/>
                <w:sz w:val="24"/>
              </w:rPr>
              <w:t>水利厅统筹资金完成率</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仿宋_GB2312"/>
                <w:sz w:val="24"/>
              </w:rPr>
            </w:pPr>
            <w:r>
              <w:rPr>
                <w:rFonts w:hint="eastAsia" w:ascii="仿宋" w:hAnsi="仿宋" w:eastAsia="仿宋" w:cs="宋体"/>
                <w:sz w:val="24"/>
              </w:rPr>
              <w:t>100％（</w:t>
            </w:r>
            <w:r>
              <w:rPr>
                <w:rFonts w:hint="eastAsia" w:ascii="仿宋" w:hAnsi="仿宋" w:eastAsia="仿宋" w:cs="仿宋_GB2312"/>
                <w:sz w:val="24"/>
              </w:rPr>
              <w:t>按水利厅要求，统筹扶贫帮扶资金支持德格县防致贫返贫基金项目和凉山州水利局租用脱贫攻坚用车费用，</w:t>
            </w:r>
            <w:r>
              <w:rPr>
                <w:rFonts w:ascii="仿宋" w:hAnsi="仿宋" w:eastAsia="仿宋" w:cs="仿宋_GB2312"/>
                <w:sz w:val="24"/>
              </w:rPr>
              <w:t>为帮扶地</w:t>
            </w:r>
            <w:r>
              <w:rPr>
                <w:rFonts w:hint="eastAsia" w:ascii="仿宋" w:hAnsi="仿宋" w:eastAsia="仿宋" w:cs="仿宋_GB2312"/>
                <w:sz w:val="24"/>
              </w:rPr>
              <w:t>巩固脱贫成果</w:t>
            </w:r>
            <w:r>
              <w:rPr>
                <w:rFonts w:ascii="仿宋" w:hAnsi="仿宋" w:eastAsia="仿宋" w:cs="仿宋_GB2312"/>
                <w:sz w:val="24"/>
              </w:rPr>
              <w:t>打赢脱攻坚战贫夯实基础</w:t>
            </w:r>
            <w:r>
              <w:rPr>
                <w:rFonts w:hint="eastAsia" w:ascii="仿宋" w:hAnsi="仿宋" w:eastAsia="仿宋" w:cs="仿宋_GB2312"/>
                <w:sz w:val="24"/>
              </w:rPr>
              <w:t>。</w:t>
            </w:r>
            <w:r>
              <w:rPr>
                <w:rFonts w:hint="eastAsia" w:ascii="仿宋" w:hAnsi="仿宋" w:eastAsia="仿宋" w:cs="宋体"/>
                <w:sz w:val="24"/>
              </w:rPr>
              <w:t>）</w:t>
            </w:r>
          </w:p>
          <w:p>
            <w:pPr>
              <w:widowControl/>
              <w:jc w:val="left"/>
              <w:textAlignment w:val="center"/>
              <w:rPr>
                <w:rFonts w:ascii="仿宋" w:hAnsi="仿宋" w:eastAsia="仿宋" w:cs="仿宋_GB2312"/>
                <w:sz w:val="24"/>
              </w:rPr>
            </w:pP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100％（</w:t>
            </w:r>
            <w:r>
              <w:rPr>
                <w:rFonts w:hint="eastAsia" w:ascii="仿宋" w:hAnsi="仿宋" w:eastAsia="仿宋" w:cs="仿宋_GB2312"/>
                <w:sz w:val="24"/>
              </w:rPr>
              <w:t>积极落实厅统筹帮扶资金，统筹帮扶资金150万元支持德格县防致贫返贫基金项目，巩固德格县脱贫成果；统筹帮扶资金139.4万元支持凉山州水利局脱贫攻坚工作租车费用，全力支持凉山州做好水利脱贫攻坚收官阶段的工作。</w:t>
            </w:r>
            <w:r>
              <w:rPr>
                <w:rFonts w:hint="eastAsia" w:ascii="仿宋" w:hAnsi="仿宋" w:eastAsia="仿宋"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1"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效益指标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社会效益指标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教育帮扶效益</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 xml:space="preserve">切实关注和跟踪困难学生的学习和生活情况，落实好助学金的审核与发放。  </w:t>
            </w: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捐助助学金12.75万元帮助261名贫困学生就学。</w:t>
            </w:r>
          </w:p>
        </w:tc>
      </w:tr>
      <w:tr>
        <w:tblPrEx>
          <w:tblCellMar>
            <w:top w:w="0" w:type="dxa"/>
            <w:left w:w="0" w:type="dxa"/>
            <w:bottom w:w="0" w:type="dxa"/>
            <w:right w:w="0" w:type="dxa"/>
          </w:tblCellMar>
        </w:tblPrEx>
        <w:trPr>
          <w:trHeight w:val="4639"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效益指标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社会效益指标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农村饮水安全帮扶效益</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聚焦“两不愁三保障”，围绕贫困户“户户有安全饮用水”目标，一是支持协庆小学安全饮水工程项目建设，帮助解决协庆小学322名师生的安全饮水问题；二是新建取水井，解决周边贫困户饮水困难问题；三是购买不锈钢水桶蓄水，解决牧区冬天贫困户饮水困难。</w:t>
            </w:r>
          </w:p>
          <w:p>
            <w:pPr>
              <w:widowControl/>
              <w:jc w:val="left"/>
              <w:textAlignment w:val="center"/>
              <w:rPr>
                <w:rFonts w:ascii="仿宋" w:hAnsi="仿宋" w:eastAsia="仿宋" w:cs="宋体"/>
                <w:sz w:val="24"/>
              </w:rPr>
            </w:pP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支持竹庆镇八色村协庆小学饮水安全工程项目建设，彻底解决了该校322名师生的安全饮水问题；在龚垭镇康公村党群中心新建取水井2座；为竹庆镇八色村和拥青顶村牧民购买95个蓄水桶，缓解了部分贫困户冬天饮水困难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效益指标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社会效益指标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产业帮扶效益</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支持帮扶地产业经济发展，提高集体经济的造血能力。</w:t>
            </w:r>
          </w:p>
          <w:p>
            <w:pPr>
              <w:widowControl/>
              <w:jc w:val="left"/>
              <w:textAlignment w:val="center"/>
              <w:rPr>
                <w:rFonts w:ascii="仿宋" w:hAnsi="仿宋" w:eastAsia="仿宋" w:cs="宋体"/>
                <w:sz w:val="24"/>
              </w:rPr>
            </w:pP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捐资15万元支持龚垭镇康公村岩乌组高山洋芋种植地围栏建设、购买种子、种植设备；捐资2.2万元竹庆镇八色村、拥青顶村发展庭院经济等项目实施，增强了村集体经济实力。</w:t>
            </w:r>
          </w:p>
        </w:tc>
      </w:tr>
      <w:tr>
        <w:tblPrEx>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效益指标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社会效益指标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爱心帮扶效益</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每年通过领导调研、走村入户、宣讲政策等机会，开展送温暖、献爱心等捐助活动，为精准扶贫户捐赠粮油、御寒棉被衣物等。</w:t>
            </w:r>
          </w:p>
          <w:p>
            <w:pPr>
              <w:widowControl/>
              <w:jc w:val="left"/>
              <w:textAlignment w:val="center"/>
              <w:rPr>
                <w:rFonts w:ascii="仿宋" w:hAnsi="仿宋" w:eastAsia="仿宋" w:cs="宋体"/>
                <w:sz w:val="24"/>
              </w:rPr>
            </w:pP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关心贫困群众，捐资3万元购买生活用品慰问帮扶地贫困户，捐资3万元为籁笏村31户困难户提供公益性岗位补贴；积极发动全局干部职工，通过扶贫对接、扶贫公募、扶贫日献爱心和消费扶贫等活动为帮扶地捐赠爱心帮扶金。</w:t>
            </w:r>
          </w:p>
          <w:p>
            <w:pPr>
              <w:widowControl/>
              <w:jc w:val="left"/>
              <w:textAlignment w:val="center"/>
              <w:rPr>
                <w:rFonts w:ascii="仿宋" w:hAnsi="仿宋" w:eastAsia="仿宋" w:cs="宋体"/>
                <w:sz w:val="24"/>
              </w:rPr>
            </w:pPr>
          </w:p>
        </w:tc>
      </w:tr>
      <w:tr>
        <w:tblPrEx>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效益指标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可持续影响指标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基础设施帮扶可持续影响</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加强基础设施帮扶力度，支持道路与河堤建设，方便周边群众出行，保障汛期群众生命财产安全，突出水利脱贫攻坚的惠民作用，助力德格县基础设施</w:t>
            </w:r>
            <w:r>
              <w:rPr>
                <w:rFonts w:ascii="仿宋" w:hAnsi="仿宋" w:eastAsia="仿宋" w:cs="宋体"/>
                <w:sz w:val="24"/>
              </w:rPr>
              <w:t>水利</w:t>
            </w:r>
            <w:r>
              <w:rPr>
                <w:rFonts w:hint="eastAsia" w:ascii="仿宋" w:hAnsi="仿宋" w:eastAsia="仿宋" w:cs="宋体"/>
                <w:sz w:val="24"/>
              </w:rPr>
              <w:t>短板。</w:t>
            </w: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捐资25万元支持龚垭镇康公村岩乌山上山道路开挖、扩宽项目，极大改善了周边群众的交通出行条件；捐资200万元支持竹庆镇更曲河堤防建设，助力当地补齐水利设施短板，为保障竹庆镇安全度汛及群众生命财产安全发挥积极作用。</w:t>
            </w:r>
          </w:p>
        </w:tc>
      </w:tr>
      <w:tr>
        <w:tblPrEx>
          <w:tblCellMar>
            <w:top w:w="0" w:type="dxa"/>
            <w:left w:w="0" w:type="dxa"/>
            <w:bottom w:w="0" w:type="dxa"/>
            <w:right w:w="0" w:type="dxa"/>
          </w:tblCellMar>
        </w:tblPrEx>
        <w:trPr>
          <w:trHeight w:val="1050"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满意度指标</w:t>
            </w:r>
          </w:p>
        </w:tc>
        <w:tc>
          <w:tcPr>
            <w:tcW w:w="1025"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满意度指标</w:t>
            </w:r>
          </w:p>
        </w:tc>
        <w:tc>
          <w:tcPr>
            <w:tcW w:w="2392"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师生满意度</w:t>
            </w:r>
          </w:p>
        </w:tc>
        <w:tc>
          <w:tcPr>
            <w:tcW w:w="2394"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切实关注和跟踪困难学生的学习和生活情况，向竹庆镇中心小学、协庆小学、通亚玛小学新入学学生捐赠校服。</w:t>
            </w:r>
          </w:p>
          <w:p>
            <w:pPr>
              <w:widowControl/>
              <w:jc w:val="left"/>
              <w:textAlignment w:val="center"/>
              <w:rPr>
                <w:rFonts w:ascii="仿宋" w:hAnsi="仿宋" w:eastAsia="仿宋" w:cs="宋体"/>
                <w:sz w:val="24"/>
              </w:rPr>
            </w:pPr>
          </w:p>
        </w:tc>
        <w:tc>
          <w:tcPr>
            <w:tcW w:w="2326" w:type="dxa"/>
            <w:tcBorders>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向竹庆镇中心小学、协庆小学、通亚玛小学捐赠校服456套，受到师生们的高度评价。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390" w:type="dxa"/>
            <w:tcBorders>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bottom w:val="nil"/>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满意度指标</w:t>
            </w:r>
          </w:p>
        </w:tc>
        <w:tc>
          <w:tcPr>
            <w:tcW w:w="1025" w:type="dxa"/>
            <w:tcBorders>
              <w:bottom w:val="nil"/>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满意度指标</w:t>
            </w:r>
          </w:p>
        </w:tc>
        <w:tc>
          <w:tcPr>
            <w:tcW w:w="2392" w:type="dxa"/>
            <w:tcBorders>
              <w:bottom w:val="nil"/>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百姓满意度</w:t>
            </w:r>
          </w:p>
        </w:tc>
        <w:tc>
          <w:tcPr>
            <w:tcW w:w="2394" w:type="dxa"/>
            <w:tcBorders>
              <w:bottom w:val="nil"/>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巩固德格县康公村、坝色村、拥青顶村和高县籁笏村脱贫成果，切实解决农村饮水安全突出问题，稳定实现帮扶地贫困人口不愁吃、不愁穿，义务教育、基本医疗和住房安全有保障。</w:t>
            </w:r>
          </w:p>
        </w:tc>
        <w:tc>
          <w:tcPr>
            <w:tcW w:w="2326" w:type="dxa"/>
            <w:tcBorders>
              <w:bottom w:val="nil"/>
              <w:tl2br w:val="nil"/>
              <w:tr2bl w:val="nil"/>
            </w:tcBorders>
            <w:tcMar>
              <w:top w:w="15" w:type="dxa"/>
              <w:left w:w="15" w:type="dxa"/>
              <w:right w:w="15" w:type="dxa"/>
            </w:tcMar>
            <w:vAlign w:val="center"/>
          </w:tcPr>
          <w:p>
            <w:pPr>
              <w:widowControl/>
              <w:jc w:val="left"/>
              <w:textAlignment w:val="center"/>
              <w:rPr>
                <w:rFonts w:ascii="仿宋" w:hAnsi="仿宋" w:eastAsia="仿宋" w:cs="宋体"/>
                <w:sz w:val="24"/>
              </w:rPr>
            </w:pPr>
            <w:r>
              <w:rPr>
                <w:rFonts w:hint="eastAsia" w:ascii="仿宋" w:hAnsi="仿宋" w:eastAsia="仿宋" w:cs="宋体"/>
                <w:sz w:val="24"/>
              </w:rPr>
              <w:t>帮扶地“两不愁、三保障”得到巩固，无返贫人员和边缘户，全村的道路设施、产业项目、安全用水等均得到较大的提升和保障，帮扶地老百姓对我局的帮扶表示极大肯定和感谢。</w:t>
            </w:r>
          </w:p>
          <w:p>
            <w:pPr>
              <w:widowControl/>
              <w:jc w:val="left"/>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4" w:hRule="atLeast"/>
          <w:jc w:val="center"/>
        </w:trPr>
        <w:tc>
          <w:tcPr>
            <w:tcW w:w="9894" w:type="dxa"/>
            <w:gridSpan w:val="6"/>
            <w:tcBorders>
              <w:top w:val="nil"/>
              <w:left w:val="nil"/>
              <w:bottom w:val="single" w:color="auto" w:sz="4" w:space="0"/>
              <w:right w:val="nil"/>
              <w:tl2br w:val="nil"/>
              <w:tr2bl w:val="nil"/>
            </w:tcBorders>
            <w:tcMar>
              <w:top w:w="15" w:type="dxa"/>
              <w:left w:w="15" w:type="dxa"/>
              <w:right w:w="15" w:type="dxa"/>
            </w:tcMar>
            <w:vAlign w:val="center"/>
          </w:tcPr>
          <w:p>
            <w:pPr>
              <w:widowControl/>
              <w:jc w:val="center"/>
              <w:textAlignment w:val="center"/>
              <w:rPr>
                <w:rFonts w:hint="eastAsia" w:ascii="仿宋" w:hAnsi="仿宋" w:eastAsia="仿宋" w:cs="宋体"/>
                <w:b/>
                <w:bCs/>
                <w:kern w:val="0"/>
                <w:sz w:val="36"/>
                <w:szCs w:val="36"/>
              </w:rPr>
            </w:pPr>
          </w:p>
          <w:p>
            <w:pPr>
              <w:widowControl/>
              <w:jc w:val="center"/>
              <w:textAlignment w:val="center"/>
              <w:rPr>
                <w:rFonts w:hint="eastAsia" w:ascii="仿宋" w:hAnsi="仿宋" w:eastAsia="仿宋" w:cs="宋体"/>
                <w:b/>
                <w:bCs/>
                <w:kern w:val="0"/>
                <w:sz w:val="36"/>
                <w:szCs w:val="36"/>
              </w:rPr>
            </w:pPr>
          </w:p>
          <w:p>
            <w:pPr>
              <w:widowControl/>
              <w:jc w:val="center"/>
              <w:textAlignment w:val="center"/>
              <w:rPr>
                <w:rFonts w:ascii="仿宋" w:hAnsi="仿宋" w:eastAsia="仿宋" w:cs="宋体"/>
                <w:sz w:val="36"/>
                <w:szCs w:val="36"/>
              </w:rPr>
            </w:pPr>
            <w:r>
              <w:rPr>
                <w:rFonts w:hint="eastAsia" w:ascii="仿宋" w:hAnsi="仿宋" w:eastAsia="仿宋" w:cs="宋体"/>
                <w:b/>
                <w:bCs/>
                <w:kern w:val="0"/>
                <w:sz w:val="36"/>
                <w:szCs w:val="36"/>
              </w:rPr>
              <w:t>项目绩效目标完成情况表</w:t>
            </w:r>
            <w:r>
              <w:rPr>
                <w:rFonts w:hint="eastAsia" w:ascii="仿宋" w:hAnsi="仿宋" w:eastAsia="仿宋" w:cs="宋体"/>
                <w:b/>
                <w:bCs/>
                <w:kern w:val="0"/>
                <w:sz w:val="36"/>
                <w:szCs w:val="36"/>
              </w:rPr>
              <w:br w:type="textWrapping"/>
            </w:r>
            <w:r>
              <w:rPr>
                <w:rFonts w:hint="eastAsia" w:ascii="仿宋" w:hAnsi="仿宋" w:eastAsia="仿宋" w:cs="宋体"/>
                <w:kern w:val="0"/>
                <w:sz w:val="36"/>
                <w:szCs w:val="36"/>
              </w:rPr>
              <w:t>(2020年度)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782" w:type="dxa"/>
            <w:gridSpan w:val="3"/>
            <w:tcBorders>
              <w:top w:val="single" w:color="auto" w:sz="4" w:space="0"/>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项目名称</w:t>
            </w:r>
          </w:p>
        </w:tc>
        <w:tc>
          <w:tcPr>
            <w:tcW w:w="7112" w:type="dxa"/>
            <w:gridSpan w:val="3"/>
            <w:tcBorders>
              <w:top w:val="single" w:color="auto" w:sz="4" w:space="0"/>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仿宋_GB2312"/>
                <w:sz w:val="24"/>
              </w:rPr>
              <w:t>上年结转厅人事档案数字化集中管理档案室改造工程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78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预算单位</w:t>
            </w:r>
          </w:p>
        </w:tc>
        <w:tc>
          <w:tcPr>
            <w:tcW w:w="711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四川省都江堰管理局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预算执行情况(万元)</w:t>
            </w: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预算数:</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theme="minorBidi"/>
                <w:sz w:val="24"/>
              </w:rPr>
              <w:t>2</w:t>
            </w:r>
            <w:r>
              <w:rPr>
                <w:rFonts w:hint="eastAsia" w:ascii="仿宋" w:hAnsi="仿宋" w:eastAsia="仿宋" w:cstheme="minorBidi"/>
                <w:sz w:val="24"/>
              </w:rPr>
              <w:t>14.27</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执行数:</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theme="minorBidi"/>
                <w:sz w:val="24"/>
              </w:rPr>
              <w:t>201</w:t>
            </w:r>
            <w:r>
              <w:rPr>
                <w:rFonts w:hint="eastAsia" w:ascii="仿宋" w:hAnsi="仿宋" w:eastAsia="仿宋" w:cstheme="minorBidi"/>
                <w:sz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1"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theme="minorBidi"/>
                <w:sz w:val="24"/>
              </w:rPr>
              <w:t>2</w:t>
            </w:r>
            <w:r>
              <w:rPr>
                <w:rFonts w:hint="eastAsia" w:ascii="仿宋" w:hAnsi="仿宋" w:eastAsia="仿宋" w:cstheme="minorBidi"/>
                <w:sz w:val="24"/>
              </w:rPr>
              <w:t>14.27</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w:t>
            </w:r>
          </w:p>
        </w:tc>
        <w:tc>
          <w:tcPr>
            <w:tcW w:w="2326" w:type="dxa"/>
            <w:tcBorders>
              <w:tl2br w:val="nil"/>
              <w:tr2bl w:val="nil"/>
            </w:tcBorders>
            <w:tcMar>
              <w:top w:w="15" w:type="dxa"/>
              <w:left w:w="15" w:type="dxa"/>
              <w:right w:w="15" w:type="dxa"/>
            </w:tcMar>
            <w:vAlign w:val="center"/>
          </w:tcPr>
          <w:p>
            <w:pPr>
              <w:jc w:val="center"/>
              <w:rPr>
                <w:rFonts w:ascii="仿宋" w:hAnsi="仿宋" w:eastAsia="仿宋" w:cs="宋体"/>
                <w:sz w:val="24"/>
              </w:rPr>
            </w:pPr>
            <w:r>
              <w:rPr>
                <w:rFonts w:ascii="仿宋" w:hAnsi="仿宋" w:eastAsia="仿宋" w:cstheme="minorBidi"/>
                <w:sz w:val="24"/>
              </w:rPr>
              <w:t>201</w:t>
            </w:r>
            <w:r>
              <w:rPr>
                <w:rFonts w:hint="eastAsia" w:ascii="仿宋" w:hAnsi="仿宋" w:eastAsia="仿宋" w:cstheme="minorBidi"/>
                <w:sz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年度目标完成情况</w:t>
            </w:r>
          </w:p>
        </w:tc>
        <w:tc>
          <w:tcPr>
            <w:tcW w:w="4784"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预期目标</w:t>
            </w:r>
          </w:p>
        </w:tc>
        <w:tc>
          <w:tcPr>
            <w:tcW w:w="4720"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9"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4784"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档案室改造（档案资料库房承重加固、档案室装修改造、智能化工程中的强电工程、弱电工程）、回转柜等设施设备（建筑智能化工程、数字化配套耗材）安装、新增档案库房新风系统等。</w:t>
            </w:r>
          </w:p>
        </w:tc>
        <w:tc>
          <w:tcPr>
            <w:tcW w:w="4720"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建成四川省水利厅人事档案数字化集中管理档案室，按规定满足了办公室、档案查阅室、微机整理室、档案库房等功能区域分开要求；档案库存可以满足存放6786卷档案，满足中长期对库容量的需求；实现人事档案室高智能化管理的要求；安保、消防、温控和防潮等环境控制系统达到安全性、实用性、先进性和可扩展性要求。项目符合中共四川省委组织部《关于印发&lt;省属单位管理的干部人事档案数字化工作实施方案&gt;的通知》中有关对防火、防潮、防蛀、防盗、防光、防高温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绩效指标完成情况</w:t>
            </w: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一级指标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二级指标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三级指标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预期指标值(包含数字及文字描述)</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实际完成指标值(包含数字及文字描述)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3"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项目完成指标</w:t>
            </w:r>
          </w:p>
          <w:p>
            <w:pPr>
              <w:widowControl/>
              <w:jc w:val="center"/>
              <w:textAlignment w:val="center"/>
              <w:rPr>
                <w:rFonts w:ascii="仿宋" w:hAnsi="仿宋" w:eastAsia="仿宋" w:cs="宋体"/>
                <w:sz w:val="24"/>
              </w:rPr>
            </w:pPr>
          </w:p>
        </w:tc>
        <w:tc>
          <w:tcPr>
            <w:tcW w:w="1025"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数量指标</w:t>
            </w:r>
          </w:p>
          <w:p>
            <w:pPr>
              <w:widowControl/>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结构加固</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将原楼板承重250kg/m2提高到450 kg/m2</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5.0 kn/m2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rPr>
              <w:t>档案室装修改造</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完成287㎡的档案室改造，功能分区，建设安保、消防等环境控制系统</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改造完成，实现了功能分区，建设了安保、消防等环境控制系统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一体化智能控制平台</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建成一体化智能控制平台</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2020.06完成设备安装及调试，6—7月对所有设备进行运行测试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项目完成指标</w:t>
            </w:r>
          </w:p>
          <w:p>
            <w:pPr>
              <w:widowControl/>
              <w:jc w:val="center"/>
              <w:textAlignment w:val="center"/>
              <w:rPr>
                <w:rFonts w:ascii="仿宋" w:hAnsi="仿宋" w:eastAsia="仿宋" w:cs="宋体"/>
                <w:sz w:val="24"/>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数量指标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回转柜等设施设备的安装</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安装智能回转柜系统</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完成智能回转柜18组的安装调试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质量指标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验收合格率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100%</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时效指标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项目按期完成率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100%</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成本指标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投资控制达标率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100%</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效益指标</w:t>
            </w:r>
          </w:p>
          <w:p>
            <w:pPr>
              <w:widowControl/>
              <w:textAlignment w:val="center"/>
              <w:rPr>
                <w:rFonts w:ascii="仿宋" w:hAnsi="仿宋" w:eastAsia="仿宋" w:cs="宋体"/>
                <w:sz w:val="24"/>
              </w:rPr>
            </w:pPr>
          </w:p>
        </w:tc>
        <w:tc>
          <w:tcPr>
            <w:tcW w:w="1025"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社会效益指标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改善档案库房及办公条件，科学化、规范化管理档案，提高档案的利用率和档案效益</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安装智能回转柜，满足6500卷的存放要求，提高管档、查档人员的工作效率</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库存可以实现6786卷档案，档案管理更科学、规范，高智能化，极大的提高了管档、查档人员的工作效率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 w:val="24"/>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建立档案智慧库房，建立一体化智能管控平台</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实现档案库房安全保护现代化、智能化、科学化、人性化管理，维护档案的完整与安全</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档案存放更安全，档案管理更高效，系统便于升级维护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可持续影响指标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强化基础，精选管理人员，按照人岗相适的原则，精选档案管理专职人员专门从事档案管理工作。</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实现水利厅系统人事档案长期稳定专业管理。</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厅系统人事档案定点存放、专业管理，档单管理人员队伍稳定，业务素质高。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满意度指标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查阅档案更加高效、智能、便捷。</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实现厅系统人事档案统一管理，方便，避免在各单位多头查阅人事档案，</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设施先进、智能，查阅档案更加科学有效。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4" w:hRule="atLeast"/>
          <w:jc w:val="center"/>
        </w:trPr>
        <w:tc>
          <w:tcPr>
            <w:tcW w:w="9894" w:type="dxa"/>
            <w:gridSpan w:val="6"/>
            <w:tcBorders>
              <w:left w:val="nil"/>
              <w:right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36"/>
                <w:szCs w:val="36"/>
              </w:rPr>
            </w:pPr>
            <w:r>
              <w:rPr>
                <w:rFonts w:hint="eastAsia" w:ascii="仿宋" w:hAnsi="仿宋" w:eastAsia="仿宋" w:cs="宋体"/>
                <w:b/>
                <w:bCs/>
                <w:kern w:val="0"/>
                <w:sz w:val="36"/>
                <w:szCs w:val="36"/>
              </w:rPr>
              <w:t>项目绩效目标完成情况表</w:t>
            </w:r>
            <w:r>
              <w:rPr>
                <w:rFonts w:hint="eastAsia" w:ascii="仿宋" w:hAnsi="仿宋" w:eastAsia="仿宋" w:cs="宋体"/>
                <w:b/>
                <w:bCs/>
                <w:kern w:val="0"/>
                <w:sz w:val="36"/>
                <w:szCs w:val="36"/>
              </w:rPr>
              <w:br w:type="textWrapping"/>
            </w:r>
            <w:r>
              <w:rPr>
                <w:rFonts w:hint="eastAsia" w:ascii="仿宋" w:hAnsi="仿宋" w:eastAsia="仿宋" w:cs="宋体"/>
                <w:kern w:val="0"/>
                <w:sz w:val="36"/>
                <w:szCs w:val="36"/>
              </w:rPr>
              <w:t>(2020年度)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78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项目名称</w:t>
            </w:r>
          </w:p>
        </w:tc>
        <w:tc>
          <w:tcPr>
            <w:tcW w:w="711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仿宋_GB2312"/>
                <w:sz w:val="24"/>
              </w:rPr>
              <w:t>上年结转主要输水通道控制断面水量监测设施建设工程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78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预算单位</w:t>
            </w:r>
          </w:p>
        </w:tc>
        <w:tc>
          <w:tcPr>
            <w:tcW w:w="7112"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四川省都江堰管理局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预算执行情况(万元)</w:t>
            </w: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预算数:</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297.5</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执行数:</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287.26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其中-财政拨款:</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1"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2392"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ascii="仿宋" w:hAnsi="仿宋" w:eastAsia="仿宋" w:cs="宋体"/>
                <w:sz w:val="24"/>
              </w:rPr>
              <w:t>297.5</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其它资金:</w:t>
            </w:r>
          </w:p>
        </w:tc>
        <w:tc>
          <w:tcPr>
            <w:tcW w:w="2326" w:type="dxa"/>
            <w:tcBorders>
              <w:tl2br w:val="nil"/>
              <w:tr2bl w:val="nil"/>
            </w:tcBorders>
            <w:tcMar>
              <w:top w:w="15" w:type="dxa"/>
              <w:left w:w="15" w:type="dxa"/>
              <w:right w:w="15" w:type="dxa"/>
            </w:tcMar>
            <w:vAlign w:val="center"/>
          </w:tcPr>
          <w:p>
            <w:pPr>
              <w:jc w:val="center"/>
              <w:rPr>
                <w:rFonts w:ascii="仿宋" w:hAnsi="仿宋" w:eastAsia="仿宋" w:cs="宋体"/>
                <w:sz w:val="24"/>
              </w:rPr>
            </w:pPr>
            <w:r>
              <w:rPr>
                <w:rFonts w:hint="eastAsia" w:ascii="仿宋" w:hAnsi="仿宋" w:eastAsia="仿宋" w:cs="宋体"/>
                <w:sz w:val="24"/>
              </w:rPr>
              <w:t>287.26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年度目标完成情况</w:t>
            </w:r>
          </w:p>
        </w:tc>
        <w:tc>
          <w:tcPr>
            <w:tcW w:w="4784"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预期目标</w:t>
            </w:r>
          </w:p>
        </w:tc>
        <w:tc>
          <w:tcPr>
            <w:tcW w:w="4720"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9" w:hRule="atLeast"/>
          <w:jc w:val="center"/>
        </w:trPr>
        <w:tc>
          <w:tcPr>
            <w:tcW w:w="390" w:type="dxa"/>
            <w:vMerge w:val="continue"/>
            <w:tcBorders>
              <w:tl2br w:val="nil"/>
              <w:tr2bl w:val="nil"/>
            </w:tcBorders>
            <w:tcMar>
              <w:top w:w="15" w:type="dxa"/>
              <w:left w:w="15" w:type="dxa"/>
              <w:right w:w="15" w:type="dxa"/>
            </w:tcMar>
            <w:vAlign w:val="center"/>
          </w:tcPr>
          <w:p>
            <w:pPr>
              <w:jc w:val="center"/>
              <w:rPr>
                <w:rFonts w:ascii="仿宋" w:hAnsi="仿宋" w:eastAsia="仿宋" w:cs="宋体"/>
                <w:sz w:val="24"/>
              </w:rPr>
            </w:pPr>
          </w:p>
        </w:tc>
        <w:tc>
          <w:tcPr>
            <w:tcW w:w="4784" w:type="dxa"/>
            <w:gridSpan w:val="3"/>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加强岷江流域水资源调度与管理，科学合理配置流域内生活、生态、生产用水量，改善岷江流域水生态环境质量，达到水利厅对岷江流域水量在线监测工作的要求，在都江堰供水区主要输水通道控制断面上建设水量在线监测设施，分别是：渠首外江泄洪闸后金马河河段、小罗堰泄洪闸、沙沟河进水闸、黑石河进水闸、岷江内江宝瓶口、蒲阳河进水闸、柏条河进水闸、走马河进水闸、江安河进水闸共9处监测断面为主要输水通道控制断面。建设完成后采集实时数据并按要求上传数据至四川省水资源监控系统。</w:t>
            </w:r>
          </w:p>
        </w:tc>
        <w:tc>
          <w:tcPr>
            <w:tcW w:w="4720" w:type="dxa"/>
            <w:gridSpan w:val="2"/>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已完成上述9点位的前端的设备采购、安装、调试、运行，软件上线、优化，数据整合和分析，并按厅水资源管理处要求实时（每5分钟一次）上传至四川省水资源监控系统，并严格按照省厅相关文件核定的生态基流进行水量调度。针对宝瓶口、蒲阳河、柏条河、走马河、江安河、沙沟河、黑石河7个有长期水位流量关系线的点位直接采用原水文数据，针对渠首外江泄洪闸后金马河河段、小罗堰泄洪闸2个无水文流量关系线的点位按相关水文规范进行为期1~2年的水文数据率定工作。整体项目完成率达80%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restart"/>
            <w:tcBorders>
              <w:tl2br w:val="nil"/>
              <w:tr2bl w:val="nil"/>
            </w:tcBorders>
            <w:tcMar>
              <w:top w:w="15" w:type="dxa"/>
              <w:left w:w="15" w:type="dxa"/>
              <w:right w:w="15" w:type="dxa"/>
            </w:tcMar>
            <w:vAlign w:val="center"/>
          </w:tcPr>
          <w:p>
            <w:pPr>
              <w:widowControl/>
              <w:jc w:val="center"/>
              <w:textAlignment w:val="center"/>
              <w:rPr>
                <w:rFonts w:hint="eastAsia" w:ascii="仿宋" w:hAnsi="仿宋" w:eastAsia="仿宋" w:cs="宋体"/>
                <w:sz w:val="24"/>
                <w:szCs w:val="24"/>
              </w:rPr>
            </w:pPr>
          </w:p>
          <w:p>
            <w:pPr>
              <w:widowControl/>
              <w:jc w:val="center"/>
              <w:textAlignment w:val="center"/>
              <w:rPr>
                <w:rFonts w:hint="eastAsia" w:ascii="仿宋" w:hAnsi="仿宋" w:eastAsia="仿宋" w:cs="宋体"/>
                <w:sz w:val="24"/>
                <w:szCs w:val="24"/>
              </w:rPr>
            </w:pPr>
          </w:p>
          <w:p>
            <w:pPr>
              <w:widowControl/>
              <w:jc w:val="center"/>
              <w:textAlignment w:val="center"/>
              <w:rPr>
                <w:rFonts w:hint="eastAsia" w:ascii="仿宋" w:hAnsi="仿宋" w:eastAsia="仿宋" w:cs="宋体"/>
                <w:sz w:val="24"/>
                <w:szCs w:val="24"/>
              </w:rPr>
            </w:pPr>
          </w:p>
          <w:p>
            <w:pPr>
              <w:widowControl/>
              <w:jc w:val="center"/>
              <w:textAlignment w:val="center"/>
              <w:rPr>
                <w:rFonts w:hint="eastAsia" w:ascii="仿宋" w:hAnsi="仿宋" w:eastAsia="仿宋" w:cs="宋体"/>
                <w:sz w:val="24"/>
                <w:szCs w:val="24"/>
              </w:rPr>
            </w:pPr>
          </w:p>
          <w:p>
            <w:pPr>
              <w:widowControl/>
              <w:jc w:val="center"/>
              <w:textAlignment w:val="center"/>
              <w:rPr>
                <w:rFonts w:hint="eastAsia" w:ascii="仿宋" w:hAnsi="仿宋" w:eastAsia="仿宋" w:cs="宋体"/>
                <w:sz w:val="24"/>
                <w:szCs w:val="24"/>
              </w:rPr>
            </w:pPr>
          </w:p>
          <w:p>
            <w:pPr>
              <w:widowControl/>
              <w:jc w:val="center"/>
              <w:textAlignment w:val="center"/>
              <w:rPr>
                <w:rFonts w:hint="eastAsia" w:ascii="仿宋" w:hAnsi="仿宋" w:eastAsia="仿宋" w:cs="宋体"/>
                <w:sz w:val="24"/>
                <w:szCs w:val="24"/>
              </w:rPr>
            </w:pPr>
          </w:p>
          <w:p>
            <w:pPr>
              <w:widowControl/>
              <w:jc w:val="center"/>
              <w:textAlignment w:val="center"/>
              <w:rPr>
                <w:rFonts w:hint="eastAsia" w:ascii="仿宋" w:hAnsi="仿宋" w:eastAsia="仿宋" w:cs="宋体"/>
                <w:sz w:val="24"/>
                <w:szCs w:val="24"/>
              </w:rPr>
            </w:pPr>
          </w:p>
          <w:p>
            <w:pPr>
              <w:widowControl/>
              <w:jc w:val="center"/>
              <w:textAlignment w:val="center"/>
              <w:rPr>
                <w:rFonts w:hint="eastAsia" w:ascii="仿宋" w:hAnsi="仿宋" w:eastAsia="仿宋" w:cs="宋体"/>
                <w:sz w:val="24"/>
                <w:szCs w:val="24"/>
              </w:rPr>
            </w:pPr>
          </w:p>
          <w:p>
            <w:pPr>
              <w:widowControl/>
              <w:jc w:val="center"/>
              <w:textAlignment w:val="center"/>
              <w:rPr>
                <w:rFonts w:hint="eastAsia" w:ascii="仿宋" w:hAnsi="仿宋" w:eastAsia="仿宋" w:cs="宋体"/>
                <w:sz w:val="24"/>
                <w:szCs w:val="24"/>
              </w:rPr>
            </w:pPr>
          </w:p>
          <w:p>
            <w:pPr>
              <w:widowControl/>
              <w:jc w:val="center"/>
              <w:textAlignment w:val="center"/>
              <w:rPr>
                <w:rFonts w:ascii="仿宋" w:hAnsi="仿宋" w:eastAsia="仿宋" w:cs="宋体"/>
                <w:sz w:val="24"/>
              </w:rPr>
            </w:pPr>
            <w:r>
              <w:rPr>
                <w:rFonts w:hint="eastAsia" w:ascii="仿宋" w:hAnsi="仿宋" w:eastAsia="仿宋" w:cs="宋体"/>
                <w:sz w:val="24"/>
                <w:szCs w:val="24"/>
              </w:rPr>
              <w:t>绩效指标完成情</w:t>
            </w:r>
            <w:r>
              <w:rPr>
                <w:rFonts w:hint="eastAsia" w:ascii="仿宋" w:hAnsi="仿宋" w:eastAsia="仿宋" w:cs="宋体"/>
                <w:sz w:val="24"/>
              </w:rPr>
              <w:t>况</w:t>
            </w:r>
          </w:p>
        </w:tc>
        <w:tc>
          <w:tcPr>
            <w:tcW w:w="1367"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一级指标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二级指标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三级指标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预期指标值(包含数字及文字描述)</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实际完成指标值(包含数字及文字描述)</w:t>
            </w:r>
          </w:p>
        </w:tc>
      </w:tr>
      <w:tr>
        <w:tblPrEx>
          <w:tblCellMar>
            <w:top w:w="0" w:type="dxa"/>
            <w:left w:w="0" w:type="dxa"/>
            <w:bottom w:w="0" w:type="dxa"/>
            <w:right w:w="0" w:type="dxa"/>
          </w:tblCellMar>
        </w:tblPrEx>
        <w:trPr>
          <w:trHeight w:val="953"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restart"/>
            <w:tcBorders>
              <w:tl2br w:val="nil"/>
              <w:tr2bl w:val="nil"/>
            </w:tcBorders>
            <w:tcMar>
              <w:top w:w="15" w:type="dxa"/>
              <w:left w:w="15" w:type="dxa"/>
              <w:right w:w="15" w:type="dxa"/>
            </w:tcMar>
            <w:vAlign w:val="center"/>
          </w:tcPr>
          <w:p>
            <w:pPr>
              <w:jc w:val="center"/>
              <w:textAlignment w:val="center"/>
              <w:rPr>
                <w:rFonts w:ascii="仿宋" w:hAnsi="仿宋" w:eastAsia="仿宋" w:cs="宋体"/>
                <w:szCs w:val="21"/>
              </w:rPr>
            </w:pPr>
            <w:r>
              <w:rPr>
                <w:rFonts w:hint="eastAsia" w:ascii="仿宋" w:hAnsi="仿宋" w:eastAsia="仿宋" w:cs="宋体"/>
                <w:kern w:val="0"/>
                <w:szCs w:val="21"/>
              </w:rPr>
              <w:t>项目完成指标</w:t>
            </w:r>
          </w:p>
        </w:tc>
        <w:tc>
          <w:tcPr>
            <w:tcW w:w="1025" w:type="dxa"/>
            <w:vMerge w:val="restart"/>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数量指标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渠首外江泄洪闸后金马河监测断面</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流速、流量、水位监测，并发送实时流量数据到厅监控平台，监测流量需控制在最小下泄为20m3/s</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已建设雷达波流速仪和轨道、双侧雷达水位计等设施，实现实时数据采集汇总，并按厅要求每5分钟一次上传至厅监控平台，数据的校核还在按相关水文规范进行分析率定。同时调度中控制最小下泄流量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Cs w:val="21"/>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小罗堰泄洪闸监测断面</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流速、流量、水位监测，并发送实时流量数据到厅监控平台，该断面流量进入金马河段，监测流量没有具体要求</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已建设遥测终端机和雷达水位计等设施，实现实时数据采集汇总，并按厅要求每5分钟一次上传至厅监控平台，数据的校核还在按相关水文规范进行分析率定。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Cs w:val="21"/>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沙沟河进水闸监测断面</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流量、水位监测，并发送实时流量数据到厅监控平台，监测流量需控制在最小下泄为5m3/s</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已完成数据收集汇总，数据套用已有水位流量关系线已校核确定。同时调度中控制最小下泄流量满足要求。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kern w:val="0"/>
                <w:szCs w:val="21"/>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黑石河进水闸监测断面</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流量、水位监测，并发送实时流量数据到厅监控平台，监测流量需控制在最小下泄为5m3/s</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已完成数据收集汇总，数据套用已有水位流量关系线已校核确定。同时调度中控制最小下泄流量满足要求。</w:t>
            </w:r>
          </w:p>
        </w:tc>
      </w:tr>
      <w:tr>
        <w:tblPrEx>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Cs w:val="21"/>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岷江内江宝瓶口监测断面</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流量、水位监测，并发送实时流量数据到厅监控平台，监测流量需控制在最小下泄为30m3/s</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已完成数据收集汇总，数据套用已有水位流量关系线已校核确定。同时调度中控制最小下泄流量满足要求。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Cs w:val="21"/>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蒲阳河进水闸监测断面</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流量、水位监测，并发送实时流量数据到厅监控平台，监测流量需控制在最小下泄为5m3/s</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已完成数据收集汇总，数据套用已有水位流量关系线已校核确定。同时调度中控制最小下泄流量满足要求。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Cs w:val="21"/>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柏条河进水闸监测断面</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流量、水位监测，并发送实时流量数据到厅监控平台，监测流量需控制在最小下泄为5m3/s</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已完成数据收集汇总，数据套用已有水位流量关系线已校核确定。同时调度中控制最小下泄流量满足要求。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Cs w:val="21"/>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走马河进水闸监测断面</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流量、水位监测，并发送实时流量数据到厅监控平台，监测流量需控制在最小下泄为5m3/s</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已完成数据收集汇总，数据套用已有水位流量关系线已校核确定。同时调度中控制最小下泄流量满足要求。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390"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kern w:val="0"/>
                <w:szCs w:val="21"/>
              </w:rPr>
            </w:pPr>
          </w:p>
        </w:tc>
        <w:tc>
          <w:tcPr>
            <w:tcW w:w="1025"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江安河进水闸监测断面</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流量、水位监测，并发送实时流量数据到厅监控平台，监测流量需控制在最小下泄为5m3/s</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已完成数据收集汇总，数据套用已有水位流量关系线已校核确定。同时调度中控制最小下泄流量满足要求。</w:t>
            </w:r>
          </w:p>
        </w:tc>
      </w:tr>
      <w:tr>
        <w:tblPrEx>
          <w:tblCellMar>
            <w:top w:w="0" w:type="dxa"/>
            <w:left w:w="0" w:type="dxa"/>
            <w:bottom w:w="0" w:type="dxa"/>
            <w:right w:w="0" w:type="dxa"/>
          </w:tblCellMar>
        </w:tblPrEx>
        <w:trPr>
          <w:trHeight w:val="1050" w:hRule="atLeast"/>
          <w:jc w:val="center"/>
        </w:trPr>
        <w:tc>
          <w:tcPr>
            <w:tcW w:w="390" w:type="dxa"/>
            <w:vMerge w:val="continue"/>
            <w:tcBorders>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szCs w:val="21"/>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质量指标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验收合格率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100%</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390" w:type="dxa"/>
            <w:tcBorders>
              <w:top w:val="nil"/>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kern w:val="0"/>
                <w:szCs w:val="21"/>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时效指标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项目按期完成率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100%</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390" w:type="dxa"/>
            <w:tcBorders>
              <w:top w:val="nil"/>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Cs w:val="21"/>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成本指标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投资控制达标率</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100%</w:t>
            </w:r>
          </w:p>
        </w:tc>
        <w:tc>
          <w:tcPr>
            <w:tcW w:w="2326"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390" w:type="dxa"/>
            <w:tcBorders>
              <w:top w:val="nil"/>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restart"/>
            <w:tcBorders>
              <w:tl2br w:val="nil"/>
              <w:tr2bl w:val="nil"/>
            </w:tcBorders>
            <w:tcMar>
              <w:top w:w="15" w:type="dxa"/>
              <w:left w:w="15" w:type="dxa"/>
              <w:right w:w="15" w:type="dxa"/>
            </w:tcMar>
            <w:vAlign w:val="center"/>
          </w:tcPr>
          <w:p>
            <w:pPr>
              <w:jc w:val="center"/>
              <w:textAlignment w:val="center"/>
              <w:rPr>
                <w:rFonts w:ascii="仿宋" w:hAnsi="仿宋" w:eastAsia="仿宋" w:cs="宋体"/>
                <w:kern w:val="0"/>
                <w:szCs w:val="21"/>
              </w:rPr>
            </w:pPr>
            <w:r>
              <w:rPr>
                <w:rFonts w:hint="eastAsia" w:ascii="仿宋" w:hAnsi="仿宋" w:eastAsia="仿宋" w:cs="宋体"/>
                <w:kern w:val="0"/>
                <w:szCs w:val="21"/>
              </w:rPr>
              <w:t>效益指标</w:t>
            </w: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社会效益   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科学合理配置流域内生活、生态、生产用水量</w:t>
            </w:r>
          </w:p>
        </w:tc>
        <w:tc>
          <w:tcPr>
            <w:tcW w:w="2394"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达标</w:t>
            </w:r>
          </w:p>
        </w:tc>
        <w:tc>
          <w:tcPr>
            <w:tcW w:w="2326" w:type="dxa"/>
            <w:tcBorders>
              <w:tl2br w:val="nil"/>
              <w:tr2bl w:val="nil"/>
            </w:tcBorders>
            <w:tcMar>
              <w:top w:w="15" w:type="dxa"/>
              <w:left w:w="15" w:type="dxa"/>
              <w:right w:w="15" w:type="dxa"/>
            </w:tcMar>
            <w:vAlign w:val="center"/>
          </w:tcPr>
          <w:p>
            <w:pPr>
              <w:jc w:val="center"/>
              <w:rPr>
                <w:rFonts w:ascii="仿宋" w:hAnsi="仿宋" w:eastAsia="仿宋"/>
              </w:rPr>
            </w:pPr>
            <w:r>
              <w:rPr>
                <w:rFonts w:hint="eastAsia" w:ascii="仿宋" w:hAnsi="仿宋" w:eastAsia="仿宋"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390" w:type="dxa"/>
            <w:tcBorders>
              <w:top w:val="nil"/>
              <w:bottom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宋体"/>
                <w:kern w:val="0"/>
                <w:szCs w:val="21"/>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生态效益   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改善岷江流域水生态环境质量</w:t>
            </w:r>
          </w:p>
        </w:tc>
        <w:tc>
          <w:tcPr>
            <w:tcW w:w="2394" w:type="dxa"/>
            <w:tcBorders>
              <w:tl2br w:val="nil"/>
              <w:tr2bl w:val="nil"/>
            </w:tcBorders>
            <w:tcMar>
              <w:top w:w="15" w:type="dxa"/>
              <w:left w:w="15" w:type="dxa"/>
              <w:right w:w="15" w:type="dxa"/>
            </w:tcMar>
            <w:vAlign w:val="center"/>
          </w:tcPr>
          <w:p>
            <w:pPr>
              <w:jc w:val="center"/>
              <w:rPr>
                <w:rFonts w:ascii="仿宋" w:hAnsi="仿宋" w:eastAsia="仿宋"/>
              </w:rPr>
            </w:pPr>
            <w:r>
              <w:rPr>
                <w:rFonts w:hint="eastAsia" w:ascii="仿宋" w:hAnsi="仿宋" w:eastAsia="仿宋" w:cs="宋体"/>
                <w:szCs w:val="21"/>
              </w:rPr>
              <w:t>达标</w:t>
            </w:r>
          </w:p>
        </w:tc>
        <w:tc>
          <w:tcPr>
            <w:tcW w:w="2326" w:type="dxa"/>
            <w:tcBorders>
              <w:tl2br w:val="nil"/>
              <w:tr2bl w:val="nil"/>
            </w:tcBorders>
            <w:tcMar>
              <w:top w:w="15" w:type="dxa"/>
              <w:left w:w="15" w:type="dxa"/>
              <w:right w:w="15" w:type="dxa"/>
            </w:tcMar>
            <w:vAlign w:val="center"/>
          </w:tcPr>
          <w:p>
            <w:pPr>
              <w:jc w:val="center"/>
              <w:rPr>
                <w:rFonts w:ascii="仿宋" w:hAnsi="仿宋" w:eastAsia="仿宋"/>
              </w:rPr>
            </w:pPr>
            <w:r>
              <w:rPr>
                <w:rFonts w:hint="eastAsia" w:ascii="仿宋" w:hAnsi="仿宋" w:eastAsia="仿宋"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390" w:type="dxa"/>
            <w:tcBorders>
              <w:top w:val="nil"/>
              <w:tl2br w:val="nil"/>
              <w:tr2bl w:val="nil"/>
            </w:tcBorders>
            <w:tcMar>
              <w:top w:w="15" w:type="dxa"/>
              <w:left w:w="15" w:type="dxa"/>
              <w:right w:w="15" w:type="dxa"/>
            </w:tcMar>
            <w:vAlign w:val="center"/>
          </w:tcPr>
          <w:p>
            <w:pPr>
              <w:widowControl/>
              <w:jc w:val="center"/>
              <w:textAlignment w:val="center"/>
              <w:rPr>
                <w:rFonts w:ascii="仿宋" w:hAnsi="仿宋" w:eastAsia="仿宋" w:cs="宋体"/>
                <w:sz w:val="24"/>
              </w:rPr>
            </w:pPr>
          </w:p>
        </w:tc>
        <w:tc>
          <w:tcPr>
            <w:tcW w:w="1367" w:type="dxa"/>
            <w:vMerge w:val="continue"/>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kern w:val="0"/>
                <w:szCs w:val="21"/>
              </w:rPr>
            </w:pPr>
          </w:p>
        </w:tc>
        <w:tc>
          <w:tcPr>
            <w:tcW w:w="1025"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可持续影响指标</w:t>
            </w:r>
          </w:p>
        </w:tc>
        <w:tc>
          <w:tcPr>
            <w:tcW w:w="2392"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加强岷江流域水资源调度与管理</w:t>
            </w:r>
          </w:p>
        </w:tc>
        <w:tc>
          <w:tcPr>
            <w:tcW w:w="2394" w:type="dxa"/>
            <w:tcBorders>
              <w:tl2br w:val="nil"/>
              <w:tr2bl w:val="nil"/>
            </w:tcBorders>
            <w:tcMar>
              <w:top w:w="15" w:type="dxa"/>
              <w:left w:w="15" w:type="dxa"/>
              <w:right w:w="15" w:type="dxa"/>
            </w:tcMar>
            <w:vAlign w:val="center"/>
          </w:tcPr>
          <w:p>
            <w:pPr>
              <w:jc w:val="center"/>
              <w:rPr>
                <w:rFonts w:ascii="仿宋" w:hAnsi="仿宋" w:eastAsia="仿宋"/>
              </w:rPr>
            </w:pPr>
            <w:r>
              <w:rPr>
                <w:rFonts w:hint="eastAsia" w:ascii="仿宋" w:hAnsi="仿宋" w:eastAsia="仿宋" w:cs="宋体"/>
                <w:szCs w:val="21"/>
              </w:rPr>
              <w:t>达标</w:t>
            </w:r>
          </w:p>
        </w:tc>
        <w:tc>
          <w:tcPr>
            <w:tcW w:w="2326" w:type="dxa"/>
            <w:tcBorders>
              <w:tl2br w:val="nil"/>
              <w:tr2bl w:val="nil"/>
            </w:tcBorders>
            <w:tcMar>
              <w:top w:w="15" w:type="dxa"/>
              <w:left w:w="15" w:type="dxa"/>
              <w:right w:w="15" w:type="dxa"/>
            </w:tcMar>
            <w:vAlign w:val="center"/>
          </w:tcPr>
          <w:p>
            <w:pPr>
              <w:jc w:val="center"/>
              <w:rPr>
                <w:rFonts w:ascii="仿宋" w:hAnsi="仿宋" w:eastAsia="仿宋"/>
              </w:rPr>
            </w:pPr>
            <w:r>
              <w:rPr>
                <w:rFonts w:hint="eastAsia" w:ascii="仿宋" w:hAnsi="仿宋" w:eastAsia="仿宋" w:cs="宋体"/>
                <w:szCs w:val="21"/>
              </w:rPr>
              <w:t>达标</w:t>
            </w:r>
          </w:p>
        </w:tc>
      </w:tr>
    </w:tbl>
    <w:p>
      <w:pPr>
        <w:spacing w:line="580" w:lineRule="exact"/>
        <w:ind w:left="630"/>
        <w:rPr>
          <w:rFonts w:hint="eastAsia" w:ascii="楷体_GB2312" w:hAnsi="楷体_GB2312" w:eastAsia="楷体_GB2312" w:cs="楷体_GB2312"/>
          <w:color w:val="auto"/>
          <w:sz w:val="32"/>
          <w:szCs w:val="32"/>
        </w:rPr>
      </w:pPr>
    </w:p>
    <w:p>
      <w:pPr>
        <w:spacing w:line="580" w:lineRule="exact"/>
        <w:ind w:left="63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2.</w:t>
      </w:r>
      <w:r>
        <w:rPr>
          <w:rFonts w:hint="eastAsia" w:ascii="楷体_GB2312" w:hAnsi="楷体_GB2312" w:eastAsia="楷体_GB2312" w:cs="楷体_GB2312"/>
          <w:color w:val="auto"/>
          <w:sz w:val="32"/>
          <w:szCs w:val="32"/>
          <w:lang w:eastAsia="zh-CN"/>
        </w:rPr>
        <w:t>单位</w:t>
      </w:r>
      <w:r>
        <w:rPr>
          <w:rFonts w:hint="eastAsia" w:ascii="楷体_GB2312" w:hAnsi="楷体_GB2312" w:eastAsia="楷体_GB2312" w:cs="楷体_GB2312"/>
          <w:color w:val="auto"/>
          <w:sz w:val="32"/>
          <w:szCs w:val="32"/>
        </w:rPr>
        <w:t>绩效评价结果。</w:t>
      </w:r>
    </w:p>
    <w:p>
      <w:pPr>
        <w:spacing w:line="600" w:lineRule="exact"/>
        <w:ind w:firstLine="640" w:firstLineChars="200"/>
        <w:jc w:val="left"/>
        <w:rPr>
          <w:rFonts w:hint="eastAsia" w:ascii="仿宋" w:hAnsi="仿宋" w:eastAsia="仿宋"/>
          <w:b/>
          <w:color w:val="auto"/>
          <w:sz w:val="32"/>
          <w:szCs w:val="32"/>
        </w:rPr>
      </w:pPr>
      <w:r>
        <w:rPr>
          <w:rFonts w:hint="eastAsia" w:ascii="仿宋_GB2312" w:hAnsi="仿宋_GB2312" w:eastAsia="仿宋_GB2312" w:cs="仿宋_GB2312"/>
          <w:color w:val="auto"/>
          <w:sz w:val="32"/>
          <w:szCs w:val="32"/>
        </w:rPr>
        <w:t>本单位自行组织对</w:t>
      </w:r>
      <w:r>
        <w:rPr>
          <w:rFonts w:hint="eastAsia" w:ascii="仿宋" w:hAnsi="仿宋" w:eastAsia="仿宋" w:cs="仿宋_GB2312"/>
          <w:b w:val="0"/>
          <w:bCs/>
          <w:sz w:val="32"/>
          <w:szCs w:val="32"/>
        </w:rPr>
        <w:t>都江堰灌区水利信息化</w:t>
      </w:r>
      <w:r>
        <w:rPr>
          <w:rFonts w:hint="eastAsia" w:ascii="仿宋" w:hAnsi="仿宋" w:eastAsia="仿宋" w:cs="仿宋_GB2312"/>
          <w:b w:val="0"/>
          <w:bCs/>
          <w:sz w:val="32"/>
          <w:szCs w:val="32"/>
          <w:lang w:eastAsia="zh-CN"/>
        </w:rPr>
        <w:t>、</w:t>
      </w:r>
      <w:r>
        <w:rPr>
          <w:rFonts w:hint="eastAsia" w:ascii="仿宋" w:hAnsi="仿宋" w:eastAsia="仿宋"/>
          <w:b w:val="0"/>
          <w:bCs/>
          <w:kern w:val="0"/>
          <w:sz w:val="32"/>
          <w:szCs w:val="32"/>
          <w:lang w:val="zh-CN"/>
        </w:rPr>
        <w:t>渠首日常维修养护、202</w:t>
      </w:r>
      <w:r>
        <w:rPr>
          <w:rFonts w:hint="eastAsia" w:ascii="仿宋" w:hAnsi="仿宋" w:eastAsia="仿宋"/>
          <w:b w:val="0"/>
          <w:bCs/>
          <w:kern w:val="0"/>
          <w:sz w:val="32"/>
          <w:szCs w:val="32"/>
        </w:rPr>
        <w:t>0</w:t>
      </w:r>
      <w:r>
        <w:rPr>
          <w:rFonts w:hint="eastAsia" w:ascii="仿宋" w:hAnsi="仿宋" w:eastAsia="仿宋"/>
          <w:b w:val="0"/>
          <w:bCs/>
          <w:kern w:val="0"/>
          <w:sz w:val="32"/>
          <w:szCs w:val="32"/>
          <w:lang w:val="zh-CN"/>
        </w:rPr>
        <w:t>年</w:t>
      </w:r>
      <w:r>
        <w:rPr>
          <w:rFonts w:hint="eastAsia" w:ascii="仿宋" w:hAnsi="仿宋" w:eastAsia="仿宋"/>
          <w:b w:val="0"/>
          <w:bCs/>
          <w:kern w:val="0"/>
          <w:sz w:val="32"/>
          <w:szCs w:val="32"/>
        </w:rPr>
        <w:t>脱贫帮扶</w:t>
      </w:r>
      <w:r>
        <w:rPr>
          <w:rFonts w:hint="eastAsia" w:ascii="仿宋" w:hAnsi="仿宋" w:eastAsia="仿宋"/>
          <w:b w:val="0"/>
          <w:bCs/>
          <w:kern w:val="0"/>
          <w:sz w:val="32"/>
          <w:szCs w:val="32"/>
          <w:lang w:val="zh-CN"/>
        </w:rPr>
        <w:t>项目项目支出、</w:t>
      </w:r>
      <w:r>
        <w:rPr>
          <w:rFonts w:hint="eastAsia" w:ascii="仿宋" w:hAnsi="仿宋" w:eastAsia="仿宋" w:cs="仿宋_GB2312"/>
          <w:b w:val="0"/>
          <w:bCs/>
          <w:sz w:val="32"/>
          <w:szCs w:val="32"/>
        </w:rPr>
        <w:t>上年结转厅人事档案数字化集中管理档案室改造工程</w:t>
      </w:r>
      <w:r>
        <w:rPr>
          <w:rFonts w:hint="eastAsia" w:ascii="仿宋" w:hAnsi="仿宋" w:eastAsia="仿宋" w:cs="仿宋_GB2312"/>
          <w:b w:val="0"/>
          <w:bCs/>
          <w:sz w:val="32"/>
          <w:szCs w:val="32"/>
          <w:lang w:eastAsia="zh-CN"/>
        </w:rPr>
        <w:t>、</w:t>
      </w:r>
      <w:r>
        <w:rPr>
          <w:rFonts w:hint="eastAsia" w:ascii="仿宋" w:hAnsi="仿宋" w:eastAsia="仿宋" w:cs="仿宋_GB2312"/>
          <w:b w:val="0"/>
          <w:bCs/>
          <w:sz w:val="32"/>
          <w:szCs w:val="32"/>
        </w:rPr>
        <w:t>上年结转主要输水通道控制断面水量监测设施建设工程</w:t>
      </w:r>
      <w:r>
        <w:rPr>
          <w:rFonts w:hint="eastAsia" w:ascii="仿宋_GB2312" w:hAnsi="仿宋_GB2312" w:eastAsia="仿宋_GB2312" w:cs="仿宋_GB2312"/>
          <w:color w:val="auto"/>
          <w:sz w:val="32"/>
          <w:szCs w:val="32"/>
        </w:rPr>
        <w:t>项目开展了绩效评价，</w:t>
      </w:r>
      <w:r>
        <w:rPr>
          <w:rFonts w:hint="eastAsia" w:ascii="仿宋_GB2312" w:hAnsi="仿宋_GB2312" w:eastAsia="仿宋_GB2312" w:cs="仿宋_GB2312"/>
          <w:color w:val="auto"/>
          <w:sz w:val="32"/>
          <w:szCs w:val="32"/>
          <w:lang w:val="en-US" w:eastAsia="zh-CN"/>
        </w:rPr>
        <w:t>具体</w:t>
      </w:r>
      <w:r>
        <w:rPr>
          <w:rFonts w:hint="eastAsia" w:ascii="仿宋_GB2312" w:hAnsi="仿宋_GB2312" w:eastAsia="仿宋_GB2312" w:cs="仿宋_GB2312"/>
          <w:color w:val="auto"/>
          <w:sz w:val="32"/>
          <w:szCs w:val="32"/>
        </w:rPr>
        <w:t>见附件</w:t>
      </w:r>
      <w:r>
        <w:rPr>
          <w:rFonts w:hint="eastAsia" w:ascii="仿宋_GB2312" w:hAnsi="仿宋_GB2312" w:eastAsia="仿宋_GB2312" w:cs="仿宋_GB2312"/>
          <w:color w:val="auto"/>
          <w:sz w:val="32"/>
          <w:szCs w:val="32"/>
          <w:lang w:eastAsia="zh-CN"/>
        </w:rPr>
        <w:t>（第四部分）</w:t>
      </w:r>
      <w:r>
        <w:rPr>
          <w:rFonts w:hint="eastAsia" w:ascii="仿宋_GB2312" w:hAnsi="仿宋_GB2312" w:eastAsia="仿宋_GB2312" w:cs="仿宋_GB2312"/>
          <w:color w:val="auto"/>
          <w:sz w:val="32"/>
          <w:szCs w:val="32"/>
        </w:rPr>
        <w:t>。</w:t>
      </w:r>
    </w:p>
    <w:p>
      <w:pPr>
        <w:numPr>
          <w:ilvl w:val="0"/>
          <w:numId w:val="0"/>
        </w:numPr>
        <w:autoSpaceDE w:val="0"/>
        <w:autoSpaceDN w:val="0"/>
        <w:adjustRightInd w:val="0"/>
        <w:spacing w:line="600" w:lineRule="exact"/>
        <w:jc w:val="left"/>
        <w:rPr>
          <w:rFonts w:hint="eastAsia" w:ascii="仿宋" w:hAnsi="仿宋" w:eastAsia="仿宋"/>
          <w:b/>
          <w:color w:val="auto"/>
          <w:sz w:val="32"/>
          <w:szCs w:val="32"/>
        </w:rPr>
      </w:pPr>
    </w:p>
    <w:p>
      <w:pPr>
        <w:numPr>
          <w:ilvl w:val="0"/>
          <w:numId w:val="0"/>
        </w:numPr>
        <w:autoSpaceDE w:val="0"/>
        <w:autoSpaceDN w:val="0"/>
        <w:adjustRightInd w:val="0"/>
        <w:spacing w:line="600" w:lineRule="exact"/>
        <w:jc w:val="left"/>
        <w:rPr>
          <w:rFonts w:hint="default" w:ascii="仿宋" w:hAnsi="仿宋" w:eastAsia="仿宋"/>
          <w:b/>
          <w:color w:val="auto"/>
          <w:sz w:val="32"/>
          <w:szCs w:val="32"/>
          <w:lang w:val="en-US" w:eastAsia="zh-CN"/>
        </w:rPr>
      </w:pPr>
      <w:r>
        <w:rPr>
          <w:rFonts w:hint="eastAsia" w:ascii="仿宋" w:hAnsi="仿宋" w:eastAsia="仿宋"/>
          <w:b/>
          <w:color w:val="auto"/>
          <w:sz w:val="32"/>
          <w:szCs w:val="32"/>
          <w:lang w:val="en-US" w:eastAsia="zh-CN"/>
        </w:rPr>
        <w:t xml:space="preserve">  </w:t>
      </w:r>
    </w:p>
    <w:p>
      <w:pPr>
        <w:autoSpaceDE w:val="0"/>
        <w:autoSpaceDN w:val="0"/>
        <w:adjustRightInd w:val="0"/>
        <w:spacing w:line="600" w:lineRule="exact"/>
        <w:jc w:val="left"/>
        <w:rPr>
          <w:rFonts w:hint="eastAsia" w:ascii="仿宋" w:hAnsi="仿宋" w:eastAsia="仿宋"/>
          <w:b/>
          <w:color w:val="FF0000"/>
          <w:sz w:val="32"/>
          <w:szCs w:val="32"/>
        </w:rPr>
      </w:pPr>
    </w:p>
    <w:p>
      <w:pPr>
        <w:pStyle w:val="2"/>
        <w:rPr>
          <w:rFonts w:hint="eastAsia" w:ascii="仿宋" w:hAnsi="仿宋" w:eastAsia="仿宋"/>
          <w:b/>
          <w:color w:val="FF0000"/>
          <w:sz w:val="32"/>
          <w:szCs w:val="32"/>
        </w:rPr>
      </w:pPr>
    </w:p>
    <w:p>
      <w:pPr>
        <w:rPr>
          <w:rFonts w:hint="eastAsia" w:ascii="仿宋" w:hAnsi="仿宋" w:eastAsia="仿宋"/>
          <w:b/>
          <w:color w:val="FF0000"/>
          <w:sz w:val="32"/>
          <w:szCs w:val="32"/>
        </w:rPr>
      </w:pPr>
    </w:p>
    <w:p>
      <w:pPr>
        <w:pStyle w:val="2"/>
        <w:rPr>
          <w:rFonts w:hint="eastAsia" w:ascii="仿宋" w:hAnsi="仿宋" w:eastAsia="仿宋"/>
          <w:b/>
          <w:color w:val="FF0000"/>
          <w:sz w:val="32"/>
          <w:szCs w:val="32"/>
        </w:rPr>
      </w:pPr>
    </w:p>
    <w:p>
      <w:pPr>
        <w:rPr>
          <w:rFonts w:hint="eastAsia" w:ascii="仿宋" w:hAnsi="仿宋" w:eastAsia="仿宋"/>
          <w:b/>
          <w:color w:val="FF0000"/>
          <w:sz w:val="32"/>
          <w:szCs w:val="32"/>
        </w:rPr>
      </w:pPr>
    </w:p>
    <w:p>
      <w:pPr>
        <w:pStyle w:val="2"/>
        <w:rPr>
          <w:rFonts w:hint="eastAsia" w:ascii="仿宋" w:hAnsi="仿宋" w:eastAsia="仿宋"/>
          <w:b/>
          <w:color w:val="FF0000"/>
          <w:sz w:val="32"/>
          <w:szCs w:val="32"/>
        </w:rPr>
      </w:pPr>
    </w:p>
    <w:p>
      <w:pPr>
        <w:rPr>
          <w:rFonts w:hint="eastAsia" w:ascii="仿宋" w:hAnsi="仿宋" w:eastAsia="仿宋"/>
          <w:b/>
          <w:color w:val="FF0000"/>
          <w:sz w:val="32"/>
          <w:szCs w:val="32"/>
        </w:rPr>
      </w:pPr>
    </w:p>
    <w:p>
      <w:pPr>
        <w:rPr>
          <w:rFonts w:hint="eastAsia" w:ascii="仿宋" w:hAnsi="仿宋" w:eastAsia="仿宋"/>
          <w:b/>
          <w:color w:val="FF0000"/>
          <w:sz w:val="32"/>
          <w:szCs w:val="32"/>
        </w:rPr>
      </w:pPr>
    </w:p>
    <w:p>
      <w:pPr>
        <w:pStyle w:val="2"/>
        <w:rPr>
          <w:rFonts w:hint="eastAsia"/>
        </w:rPr>
      </w:pPr>
    </w:p>
    <w:p>
      <w:pPr>
        <w:pageBreakBefore w:val="0"/>
        <w:widowControl w:val="0"/>
        <w:numPr>
          <w:ilvl w:val="0"/>
          <w:numId w:val="0"/>
        </w:numPr>
        <w:kinsoku/>
        <w:wordWrap/>
        <w:overflowPunct/>
        <w:topLinePunct w:val="0"/>
        <w:autoSpaceDE/>
        <w:autoSpaceDN/>
        <w:bidi w:val="0"/>
        <w:adjustRightInd/>
        <w:snapToGrid/>
        <w:spacing w:line="600" w:lineRule="exact"/>
        <w:ind w:left="2520" w:leftChars="0"/>
        <w:jc w:val="both"/>
        <w:textAlignment w:val="auto"/>
        <w:outlineLvl w:val="0"/>
        <w:rPr>
          <w:rStyle w:val="25"/>
          <w:rFonts w:ascii="黑体" w:hAnsi="黑体" w:eastAsia="黑体"/>
          <w:b w:val="0"/>
        </w:rPr>
      </w:pPr>
      <w:bookmarkStart w:id="47" w:name="_Toc15396613"/>
      <w:bookmarkStart w:id="48" w:name="_Toc15377225"/>
      <w:r>
        <w:rPr>
          <w:rFonts w:hint="eastAsia" w:ascii="黑体" w:hAnsi="黑体" w:eastAsia="黑体"/>
          <w:color w:val="000000"/>
          <w:sz w:val="44"/>
          <w:szCs w:val="44"/>
          <w:lang w:val="en-US" w:eastAsia="zh-CN"/>
        </w:rPr>
        <w:t xml:space="preserve">第三部分 </w:t>
      </w:r>
      <w:r>
        <w:rPr>
          <w:rFonts w:hint="eastAsia" w:ascii="黑体" w:hAnsi="黑体" w:eastAsia="黑体"/>
          <w:color w:val="000000"/>
          <w:sz w:val="44"/>
          <w:szCs w:val="44"/>
        </w:rPr>
        <w:t>名</w:t>
      </w:r>
      <w:r>
        <w:rPr>
          <w:rStyle w:val="25"/>
          <w:rFonts w:hint="eastAsia" w:ascii="黑体" w:hAnsi="黑体" w:eastAsia="黑体"/>
          <w:b w:val="0"/>
        </w:rPr>
        <w:t>词解释</w:t>
      </w:r>
      <w:bookmarkEnd w:id="47"/>
      <w:bookmarkEnd w:id="48"/>
    </w:p>
    <w:p>
      <w:pPr>
        <w:spacing w:line="600" w:lineRule="exact"/>
        <w:jc w:val="left"/>
        <w:rPr>
          <w:rFonts w:ascii="宋体"/>
          <w:b/>
          <w:color w:val="000000"/>
          <w:sz w:val="44"/>
          <w:szCs w:val="44"/>
        </w:rPr>
      </w:pPr>
    </w:p>
    <w:p>
      <w:pPr>
        <w:pStyle w:val="23"/>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23"/>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z w:val="32"/>
          <w:szCs w:val="32"/>
        </w:rPr>
        <w:t>其他收入：指单位取得的除上述收入以外的各项收入。主要是</w:t>
      </w:r>
      <w:r>
        <w:rPr>
          <w:rFonts w:hint="eastAsia" w:ascii="仿宋_GB2312" w:eastAsia="仿宋_GB2312"/>
          <w:sz w:val="32"/>
          <w:szCs w:val="32"/>
          <w:lang w:val="en-US" w:eastAsia="zh-CN"/>
        </w:rPr>
        <w:t>水费收入</w:t>
      </w:r>
      <w:r>
        <w:rPr>
          <w:rFonts w:hint="eastAsia" w:ascii="仿宋_GB2312" w:eastAsia="仿宋_GB2312"/>
          <w:sz w:val="32"/>
          <w:szCs w:val="32"/>
        </w:rPr>
        <w:t>等。</w:t>
      </w:r>
      <w:r>
        <w:rPr>
          <w:rFonts w:ascii="仿宋_GB2312" w:eastAsia="仿宋_GB2312"/>
          <w:sz w:val="32"/>
          <w:szCs w:val="32"/>
        </w:rPr>
        <w:t xml:space="preserve"> </w:t>
      </w:r>
    </w:p>
    <w:p>
      <w:pPr>
        <w:pStyle w:val="23"/>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w:t>
      </w:r>
      <w:r>
        <w:rPr>
          <w:rFonts w:ascii="仿宋_GB2312" w:eastAsia="仿宋_GB2312"/>
          <w:sz w:val="32"/>
          <w:szCs w:val="32"/>
        </w:rPr>
        <w:t>.</w:t>
      </w:r>
      <w:r>
        <w:rPr>
          <w:rFonts w:hint="eastAsia" w:ascii="仿宋_GB2312" w:eastAsia="仿宋_GB2312"/>
          <w:sz w:val="32"/>
          <w:szCs w:val="32"/>
          <w:lang w:eastAsia="zh-CN"/>
        </w:rPr>
        <w:t>使用非财政拨款结余</w:t>
      </w:r>
      <w:r>
        <w:rPr>
          <w:rFonts w:hint="eastAsia" w:ascii="仿宋_GB2312" w:eastAsia="仿宋_GB2312"/>
          <w:sz w:val="32"/>
          <w:szCs w:val="32"/>
        </w:rPr>
        <w:t>：指事业单位</w:t>
      </w:r>
      <w:r>
        <w:rPr>
          <w:rFonts w:hint="eastAsia" w:ascii="仿宋_GB2312" w:eastAsia="仿宋_GB2312"/>
          <w:sz w:val="32"/>
          <w:szCs w:val="32"/>
          <w:lang w:eastAsia="zh-CN"/>
        </w:rPr>
        <w:t>使用以前年度积累的非财政拨款结余弥补当年收支差额的金额。</w:t>
      </w:r>
      <w:r>
        <w:rPr>
          <w:rFonts w:ascii="仿宋_GB2312" w:eastAsia="仿宋_GB2312"/>
          <w:sz w:val="32"/>
          <w:szCs w:val="32"/>
        </w:rPr>
        <w:t xml:space="preserve"> </w:t>
      </w:r>
    </w:p>
    <w:p>
      <w:pPr>
        <w:pStyle w:val="23"/>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4</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pPr>
        <w:pStyle w:val="23"/>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5</w:t>
      </w:r>
      <w:r>
        <w:rPr>
          <w:rFonts w:ascii="仿宋_GB2312" w:eastAsia="仿宋_GB2312"/>
          <w:sz w:val="32"/>
          <w:szCs w:val="32"/>
        </w:rPr>
        <w:t>.</w:t>
      </w:r>
      <w:r>
        <w:rPr>
          <w:rFonts w:hint="eastAsia" w:ascii="仿宋_GB2312" w:eastAsia="仿宋_GB2312"/>
          <w:sz w:val="32"/>
          <w:szCs w:val="32"/>
        </w:rPr>
        <w:t>结余分配：指事业单位按照会计制度规定</w:t>
      </w:r>
      <w:r>
        <w:rPr>
          <w:rFonts w:hint="eastAsia" w:ascii="仿宋_GB2312" w:eastAsia="仿宋_GB2312"/>
          <w:sz w:val="32"/>
          <w:szCs w:val="32"/>
          <w:lang w:eastAsia="zh-CN"/>
        </w:rPr>
        <w:t>缴纳的所得税、提取的专用结余以及转入非财政拨款结余的金额</w:t>
      </w:r>
      <w:r>
        <w:rPr>
          <w:rFonts w:hint="eastAsia" w:ascii="仿宋_GB2312" w:eastAsia="仿宋_GB2312"/>
          <w:sz w:val="32"/>
          <w:szCs w:val="32"/>
        </w:rPr>
        <w:t>等。</w:t>
      </w:r>
    </w:p>
    <w:p>
      <w:pPr>
        <w:pStyle w:val="23"/>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年末结转和结余：指单位按有关规定结转到下年或以后年度继续使用的资金。</w:t>
      </w:r>
    </w:p>
    <w:p>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7</w:t>
      </w:r>
      <w:r>
        <w:rPr>
          <w:rFonts w:ascii="仿宋_GB2312" w:eastAsia="仿宋_GB2312"/>
          <w:color w:val="000000"/>
          <w:sz w:val="32"/>
          <w:szCs w:val="32"/>
        </w:rPr>
        <w:t>.</w:t>
      </w:r>
      <w:r>
        <w:rPr>
          <w:rFonts w:hint="eastAsia" w:ascii="仿宋_GB2312" w:eastAsia="仿宋_GB2312"/>
          <w:color w:val="000000"/>
          <w:sz w:val="32"/>
          <w:szCs w:val="32"/>
        </w:rPr>
        <w:t>社会保障和就业（类）</w:t>
      </w:r>
      <w:r>
        <w:rPr>
          <w:rFonts w:hint="eastAsia" w:ascii="仿宋_GB2312" w:eastAsia="仿宋_GB2312"/>
          <w:color w:val="000000"/>
          <w:sz w:val="32"/>
          <w:szCs w:val="32"/>
          <w:lang w:val="en-US" w:eastAsia="zh-CN"/>
        </w:rPr>
        <w:t>行政事业单位养老支出</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事业单位离退休</w:t>
      </w:r>
      <w:r>
        <w:rPr>
          <w:rFonts w:hint="eastAsia" w:ascii="仿宋_GB2312" w:eastAsia="仿宋_GB2312"/>
          <w:color w:val="000000"/>
          <w:sz w:val="32"/>
          <w:szCs w:val="32"/>
        </w:rPr>
        <w:t>（项）：指</w:t>
      </w:r>
      <w:r>
        <w:rPr>
          <w:rFonts w:hint="eastAsia" w:ascii="仿宋_GB2312" w:eastAsia="仿宋_GB2312"/>
          <w:color w:val="000000"/>
          <w:sz w:val="32"/>
          <w:szCs w:val="32"/>
          <w:lang w:val="en-US" w:eastAsia="zh-CN"/>
        </w:rPr>
        <w:t>事业单位开支的离退休经费</w:t>
      </w:r>
      <w:r>
        <w:rPr>
          <w:rFonts w:hint="eastAsia" w:ascii="仿宋_GB2312" w:eastAsia="仿宋_GB2312"/>
          <w:color w:val="000000"/>
          <w:sz w:val="32"/>
          <w:szCs w:val="32"/>
        </w:rPr>
        <w:t>。</w:t>
      </w:r>
    </w:p>
    <w:p>
      <w:pPr>
        <w:ind w:firstLine="640" w:firstLineChars="200"/>
        <w:rPr>
          <w:rFonts w:hint="default" w:ascii="仿宋_GB2312" w:eastAsia="仿宋_GB2312"/>
          <w:color w:val="000000"/>
          <w:sz w:val="32"/>
          <w:szCs w:val="32"/>
          <w:lang w:val="en-US" w:eastAsia="zh-CN"/>
        </w:rPr>
      </w:pPr>
      <w:r>
        <w:rPr>
          <w:rFonts w:hint="eastAsia" w:ascii="仿宋_GB2312" w:eastAsia="仿宋_GB2312"/>
          <w:color w:val="000000"/>
          <w:sz w:val="32"/>
          <w:szCs w:val="32"/>
          <w:lang w:val="en-US" w:eastAsia="zh-CN"/>
        </w:rPr>
        <w:t>8.</w:t>
      </w:r>
      <w:r>
        <w:rPr>
          <w:rFonts w:hint="eastAsia" w:ascii="仿宋_GB2312" w:eastAsia="仿宋_GB2312"/>
          <w:color w:val="000000"/>
          <w:sz w:val="32"/>
          <w:szCs w:val="32"/>
        </w:rPr>
        <w:t>社会保障和就业（类）</w:t>
      </w:r>
      <w:r>
        <w:rPr>
          <w:rFonts w:hint="eastAsia" w:ascii="仿宋_GB2312" w:eastAsia="仿宋_GB2312"/>
          <w:color w:val="000000"/>
          <w:sz w:val="32"/>
          <w:szCs w:val="32"/>
          <w:lang w:val="en-US" w:eastAsia="zh-CN"/>
        </w:rPr>
        <w:t>行政事业单位养老支出</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机关事业单位基本养老保险缴费支出</w:t>
      </w:r>
      <w:r>
        <w:rPr>
          <w:rFonts w:hint="eastAsia" w:ascii="仿宋_GB2312" w:eastAsia="仿宋_GB2312"/>
          <w:color w:val="000000"/>
          <w:sz w:val="32"/>
          <w:szCs w:val="32"/>
        </w:rPr>
        <w:t>（项）：</w:t>
      </w:r>
      <w:r>
        <w:rPr>
          <w:rFonts w:hint="eastAsia" w:ascii="仿宋_GB2312" w:eastAsia="仿宋_GB2312"/>
          <w:color w:val="000000"/>
          <w:sz w:val="32"/>
          <w:szCs w:val="32"/>
          <w:lang w:val="en-US" w:eastAsia="zh-CN"/>
        </w:rPr>
        <w:t>指机关事业单位实施养老保险制度由单位缴纳的基本养老保险支出。</w:t>
      </w:r>
    </w:p>
    <w:p>
      <w:pPr>
        <w:ind w:firstLine="640" w:firstLineChars="200"/>
        <w:rPr>
          <w:rFonts w:hint="default" w:ascii="仿宋_GB2312" w:eastAsia="仿宋_GB2312"/>
          <w:color w:val="000000"/>
          <w:sz w:val="32"/>
          <w:szCs w:val="32"/>
          <w:lang w:val="en-US"/>
        </w:rPr>
      </w:pPr>
      <w:r>
        <w:rPr>
          <w:rFonts w:hint="eastAsia" w:ascii="仿宋_GB2312" w:eastAsia="仿宋_GB2312"/>
          <w:color w:val="000000"/>
          <w:sz w:val="32"/>
          <w:szCs w:val="32"/>
          <w:lang w:val="en-US" w:eastAsia="zh-CN"/>
        </w:rPr>
        <w:t>9.</w:t>
      </w:r>
      <w:r>
        <w:rPr>
          <w:rFonts w:hint="eastAsia" w:ascii="仿宋_GB2312" w:eastAsia="仿宋_GB2312"/>
          <w:color w:val="000000"/>
          <w:sz w:val="32"/>
          <w:szCs w:val="32"/>
        </w:rPr>
        <w:t>社会保障和就业（类）</w:t>
      </w:r>
      <w:r>
        <w:rPr>
          <w:rFonts w:hint="eastAsia" w:ascii="仿宋_GB2312" w:eastAsia="仿宋_GB2312"/>
          <w:color w:val="000000"/>
          <w:sz w:val="32"/>
          <w:szCs w:val="32"/>
          <w:lang w:val="en-US" w:eastAsia="zh-CN"/>
        </w:rPr>
        <w:t>行政事业单位养老支出</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机关事业单位职业年金缴费支出</w:t>
      </w:r>
      <w:r>
        <w:rPr>
          <w:rFonts w:hint="eastAsia" w:ascii="仿宋_GB2312" w:eastAsia="仿宋_GB2312"/>
          <w:color w:val="000000"/>
          <w:sz w:val="32"/>
          <w:szCs w:val="32"/>
        </w:rPr>
        <w:t>（项）：</w:t>
      </w:r>
      <w:r>
        <w:rPr>
          <w:rFonts w:hint="eastAsia" w:ascii="仿宋_GB2312" w:eastAsia="仿宋_GB2312"/>
          <w:color w:val="000000"/>
          <w:sz w:val="32"/>
          <w:szCs w:val="32"/>
          <w:lang w:val="en-US" w:eastAsia="zh-CN"/>
        </w:rPr>
        <w:t>指机关事业单位实施养老保险制度由单位实际缴纳的职业年金支出。</w:t>
      </w:r>
    </w:p>
    <w:p>
      <w:pPr>
        <w:numPr>
          <w:ilvl w:val="0"/>
          <w:numId w:val="0"/>
        </w:numPr>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10.卫生健康支出</w:t>
      </w:r>
      <w:r>
        <w:rPr>
          <w:rFonts w:hint="eastAsia" w:ascii="仿宋_GB2312" w:eastAsia="仿宋_GB2312"/>
          <w:color w:val="000000"/>
          <w:sz w:val="32"/>
          <w:szCs w:val="32"/>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行政事业单位医疗</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事业单位医疗</w:t>
      </w:r>
      <w:r>
        <w:rPr>
          <w:rFonts w:hint="eastAsia" w:ascii="仿宋_GB2312" w:eastAsia="仿宋_GB2312"/>
          <w:color w:val="000000"/>
          <w:sz w:val="32"/>
          <w:szCs w:val="32"/>
        </w:rPr>
        <w:t>（项）：指</w:t>
      </w:r>
      <w:r>
        <w:rPr>
          <w:rFonts w:hint="eastAsia" w:ascii="仿宋_GB2312" w:eastAsia="仿宋_GB2312"/>
          <w:color w:val="000000"/>
          <w:sz w:val="32"/>
          <w:szCs w:val="32"/>
          <w:lang w:val="en-US" w:eastAsia="zh-CN"/>
        </w:rPr>
        <w:t>财政部门安排的事业单位基本医疗保险经费，未参加医疗保险的事业单位的公费医疗经费，按国家规定享受离退休人员待遇的医疗经费</w:t>
      </w:r>
      <w:r>
        <w:rPr>
          <w:rFonts w:hint="eastAsia" w:ascii="仿宋_GB2312" w:eastAsia="仿宋_GB2312"/>
          <w:color w:val="000000"/>
          <w:sz w:val="32"/>
          <w:szCs w:val="32"/>
        </w:rPr>
        <w:t>。</w:t>
      </w:r>
    </w:p>
    <w:p>
      <w:pPr>
        <w:numPr>
          <w:ilvl w:val="0"/>
          <w:numId w:val="0"/>
        </w:numPr>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11.卫生健康支出</w:t>
      </w:r>
      <w:r>
        <w:rPr>
          <w:rFonts w:hint="eastAsia" w:ascii="仿宋_GB2312" w:eastAsia="仿宋_GB2312"/>
          <w:color w:val="000000"/>
          <w:sz w:val="32"/>
          <w:szCs w:val="32"/>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行政事业单位医疗</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其他行政事业单位医疗支出</w:t>
      </w:r>
      <w:r>
        <w:rPr>
          <w:rFonts w:hint="eastAsia" w:ascii="仿宋_GB2312" w:eastAsia="仿宋_GB2312"/>
          <w:color w:val="000000"/>
          <w:sz w:val="32"/>
          <w:szCs w:val="32"/>
        </w:rPr>
        <w:t>（项）</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反映除上述项目以外的其他用于行政事业单位医疗方面的支出。</w:t>
      </w:r>
    </w:p>
    <w:p>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12.</w:t>
      </w:r>
      <w:r>
        <w:rPr>
          <w:rFonts w:hint="eastAsia" w:ascii="仿宋_GB2312" w:eastAsia="仿宋_GB2312"/>
          <w:color w:val="000000"/>
          <w:sz w:val="32"/>
          <w:szCs w:val="32"/>
        </w:rPr>
        <w:t>农林水（类）</w:t>
      </w:r>
      <w:r>
        <w:rPr>
          <w:rFonts w:hint="eastAsia" w:ascii="仿宋_GB2312" w:eastAsia="仿宋_GB2312"/>
          <w:color w:val="000000"/>
          <w:sz w:val="32"/>
          <w:szCs w:val="32"/>
          <w:lang w:val="en-US" w:eastAsia="zh-CN"/>
        </w:rPr>
        <w:t>水利</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水利工程建设</w:t>
      </w:r>
      <w:r>
        <w:rPr>
          <w:rFonts w:hint="eastAsia" w:ascii="仿宋_GB2312" w:eastAsia="仿宋_GB2312"/>
          <w:color w:val="000000"/>
          <w:sz w:val="32"/>
          <w:szCs w:val="32"/>
        </w:rPr>
        <w:t>（项）：指</w:t>
      </w:r>
      <w:r>
        <w:rPr>
          <w:rFonts w:hint="eastAsia" w:ascii="仿宋_GB2312" w:eastAsia="仿宋_GB2312"/>
          <w:color w:val="000000"/>
          <w:sz w:val="32"/>
          <w:szCs w:val="32"/>
          <w:lang w:val="en-US" w:eastAsia="zh-CN"/>
        </w:rPr>
        <w:t>水利系统用于江、河、湖、滩等水利工程建设支出，包括堤防、河道、水库、水利枢纽、涵闸、灌区、供水、蓄滞洪区等水利工程及其附属设备、设施的建设、更新改造、大中型病险水库防险、大型灌区改造、农村电气化建设等支出</w:t>
      </w:r>
      <w:r>
        <w:rPr>
          <w:rFonts w:hint="eastAsia" w:ascii="仿宋_GB2312" w:eastAsia="仿宋_GB2312"/>
          <w:color w:val="000000"/>
          <w:sz w:val="32"/>
          <w:szCs w:val="32"/>
        </w:rPr>
        <w:t>。</w:t>
      </w:r>
    </w:p>
    <w:p>
      <w:pPr>
        <w:ind w:firstLine="640" w:firstLineChars="200"/>
        <w:rPr>
          <w:rFonts w:hint="default" w:ascii="仿宋_GB2312" w:eastAsia="仿宋_GB2312"/>
          <w:color w:val="000000"/>
          <w:sz w:val="32"/>
          <w:szCs w:val="32"/>
          <w:lang w:val="en-US" w:eastAsia="zh-CN"/>
        </w:rPr>
      </w:pPr>
      <w:r>
        <w:rPr>
          <w:rFonts w:hint="eastAsia" w:ascii="仿宋_GB2312" w:eastAsia="仿宋_GB2312"/>
          <w:color w:val="000000"/>
          <w:sz w:val="32"/>
          <w:szCs w:val="32"/>
          <w:lang w:val="en-US" w:eastAsia="zh-CN"/>
        </w:rPr>
        <w:t>13.</w:t>
      </w:r>
      <w:r>
        <w:rPr>
          <w:rFonts w:hint="eastAsia" w:ascii="仿宋_GB2312" w:eastAsia="仿宋_GB2312"/>
          <w:color w:val="000000"/>
          <w:sz w:val="32"/>
          <w:szCs w:val="32"/>
        </w:rPr>
        <w:t>农林水（类）</w:t>
      </w:r>
      <w:r>
        <w:rPr>
          <w:rFonts w:hint="eastAsia" w:ascii="仿宋_GB2312" w:eastAsia="仿宋_GB2312"/>
          <w:color w:val="000000"/>
          <w:sz w:val="32"/>
          <w:szCs w:val="32"/>
          <w:lang w:val="en-US" w:eastAsia="zh-CN"/>
        </w:rPr>
        <w:t>水利</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水利工程运行与维护</w:t>
      </w:r>
      <w:r>
        <w:rPr>
          <w:rFonts w:hint="eastAsia" w:ascii="仿宋_GB2312" w:eastAsia="仿宋_GB2312"/>
          <w:color w:val="000000"/>
          <w:sz w:val="32"/>
          <w:szCs w:val="32"/>
        </w:rPr>
        <w:t>（项）</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指反映水利系统用于江、河、湖、滩等治理工程运行与维护方面的支出，以及纳入预算管理的水利工程管理单位的支出。</w:t>
      </w:r>
    </w:p>
    <w:p>
      <w:pPr>
        <w:ind w:firstLine="640" w:firstLineChars="200"/>
        <w:rPr>
          <w:rFonts w:hint="default" w:ascii="仿宋_GB2312" w:eastAsia="仿宋_GB2312"/>
          <w:color w:val="000000"/>
          <w:sz w:val="32"/>
          <w:szCs w:val="32"/>
          <w:lang w:val="en-US" w:eastAsia="zh-CN"/>
        </w:rPr>
      </w:pPr>
      <w:r>
        <w:rPr>
          <w:rFonts w:hint="eastAsia" w:ascii="仿宋_GB2312" w:eastAsia="仿宋_GB2312"/>
          <w:color w:val="000000"/>
          <w:sz w:val="32"/>
          <w:szCs w:val="32"/>
          <w:lang w:val="en-US" w:eastAsia="zh-CN"/>
        </w:rPr>
        <w:t>14.</w:t>
      </w:r>
      <w:r>
        <w:rPr>
          <w:rFonts w:hint="eastAsia" w:ascii="仿宋_GB2312" w:eastAsia="仿宋_GB2312"/>
          <w:color w:val="000000"/>
          <w:sz w:val="32"/>
          <w:szCs w:val="32"/>
        </w:rPr>
        <w:t>农林水（类）</w:t>
      </w:r>
      <w:r>
        <w:rPr>
          <w:rFonts w:hint="eastAsia" w:ascii="仿宋_GB2312" w:eastAsia="仿宋_GB2312"/>
          <w:color w:val="000000"/>
          <w:sz w:val="32"/>
          <w:szCs w:val="32"/>
          <w:lang w:val="en-US" w:eastAsia="zh-CN"/>
        </w:rPr>
        <w:t>水利</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其他水利支出</w:t>
      </w:r>
      <w:r>
        <w:rPr>
          <w:rFonts w:hint="eastAsia" w:ascii="仿宋_GB2312" w:eastAsia="仿宋_GB2312"/>
          <w:color w:val="000000"/>
          <w:sz w:val="32"/>
          <w:szCs w:val="32"/>
        </w:rPr>
        <w:t>（项）</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反映除上述项目以外其他用于水利方面的支出</w:t>
      </w:r>
    </w:p>
    <w:p>
      <w:pPr>
        <w:ind w:firstLine="640" w:firstLineChars="200"/>
        <w:rPr>
          <w:rFonts w:hint="default" w:ascii="仿宋_GB2312" w:eastAsia="仿宋_GB2312"/>
          <w:color w:val="000000"/>
          <w:sz w:val="32"/>
          <w:szCs w:val="32"/>
          <w:lang w:val="en-US" w:eastAsia="zh-CN"/>
        </w:rPr>
      </w:pPr>
      <w:r>
        <w:rPr>
          <w:rFonts w:hint="eastAsia" w:ascii="仿宋_GB2312" w:eastAsia="仿宋_GB2312"/>
          <w:color w:val="000000"/>
          <w:sz w:val="32"/>
          <w:szCs w:val="32"/>
          <w:lang w:val="en-US" w:eastAsia="zh-CN"/>
        </w:rPr>
        <w:t>15.农林水（类）扶贫（款）其他扶贫支出（项）：指除扶贫以外的其他用于扶贫方面的支出。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16.</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17</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pPr>
        <w:pStyle w:val="23"/>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18</w:t>
      </w:r>
      <w:r>
        <w:rPr>
          <w:rFonts w:ascii="仿宋_GB2312" w:eastAsia="仿宋_GB2312"/>
          <w:sz w:val="32"/>
          <w:szCs w:val="32"/>
        </w:rPr>
        <w:t>.</w:t>
      </w:r>
      <w:r>
        <w:rPr>
          <w:rFonts w:hint="eastAsia" w:ascii="仿宋_GB2312" w:eastAsia="仿宋_GB2312"/>
          <w:sz w:val="32"/>
          <w:szCs w:val="32"/>
          <w:lang w:val="en-US" w:eastAsia="zh-CN"/>
        </w:rPr>
        <w:t>工资福利支出：包括奖金、伙食补助费、机关事业单位基本养老缴费、职业年金缴费、职工基本医疗保险缴费、其他社会保障缴费</w:t>
      </w:r>
      <w:r>
        <w:rPr>
          <w:rFonts w:hint="eastAsia" w:ascii="仿宋_GB2312" w:eastAsia="仿宋_GB2312"/>
          <w:sz w:val="32"/>
          <w:szCs w:val="32"/>
        </w:rPr>
        <w:t>。</w:t>
      </w:r>
    </w:p>
    <w:p>
      <w:pPr>
        <w:pStyle w:val="23"/>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19.商品和服务支出：包括其他商品和服务支出。</w:t>
      </w:r>
    </w:p>
    <w:p>
      <w:pPr>
        <w:pStyle w:val="23"/>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20.对个人和家庭的补助：包括其他对个人和家庭的补助。</w:t>
      </w:r>
    </w:p>
    <w:p>
      <w:pPr>
        <w:pStyle w:val="23"/>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21.资本性支出（基本建设）：包括基础设施建设。</w:t>
      </w:r>
    </w:p>
    <w:p>
      <w:pPr>
        <w:pStyle w:val="23"/>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22.资本性支出：包括公务用车购置、其他资本性支出。</w:t>
      </w:r>
    </w:p>
    <w:p>
      <w:pPr>
        <w:spacing w:line="600" w:lineRule="exact"/>
        <w:jc w:val="center"/>
        <w:outlineLvl w:val="0"/>
        <w:rPr>
          <w:rFonts w:hint="eastAsia" w:ascii="黑体" w:hAnsi="黑体" w:eastAsia="黑体"/>
          <w:color w:val="000000"/>
          <w:sz w:val="44"/>
          <w:szCs w:val="44"/>
        </w:rPr>
      </w:pPr>
      <w:bookmarkStart w:id="49" w:name="_Toc15396614"/>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pStyle w:val="2"/>
        <w:rPr>
          <w:rFonts w:hint="eastAsia"/>
        </w:rPr>
      </w:pPr>
    </w:p>
    <w:p>
      <w:pPr>
        <w:rPr>
          <w:rFonts w:hint="eastAsia"/>
        </w:rPr>
      </w:pPr>
    </w:p>
    <w:p>
      <w:pPr>
        <w:pStyle w:val="11"/>
        <w:rPr>
          <w:rFonts w:hint="eastAsia"/>
        </w:rPr>
      </w:pPr>
    </w:p>
    <w:p>
      <w:pPr>
        <w:spacing w:line="600" w:lineRule="exact"/>
        <w:jc w:val="center"/>
        <w:outlineLvl w:val="0"/>
        <w:rPr>
          <w:rFonts w:hint="eastAsia" w:ascii="黑体" w:hAnsi="黑体" w:eastAsia="黑体"/>
          <w:color w:val="000000"/>
          <w:sz w:val="44"/>
          <w:szCs w:val="44"/>
        </w:rPr>
      </w:pPr>
    </w:p>
    <w:p>
      <w:pPr>
        <w:pageBreakBefore w:val="0"/>
        <w:widowControl w:val="0"/>
        <w:kinsoku/>
        <w:wordWrap/>
        <w:overflowPunct/>
        <w:topLinePunct w:val="0"/>
        <w:autoSpaceDE/>
        <w:autoSpaceDN/>
        <w:bidi w:val="0"/>
        <w:adjustRightInd/>
        <w:snapToGrid/>
        <w:spacing w:line="600" w:lineRule="exact"/>
        <w:jc w:val="center"/>
        <w:textAlignment w:val="auto"/>
        <w:outlineLvl w:val="0"/>
        <w:rPr>
          <w:rStyle w:val="25"/>
          <w:rFonts w:ascii="黑体" w:hAnsi="黑体" w:eastAsia="黑体"/>
          <w:b w:val="0"/>
        </w:rPr>
      </w:pPr>
      <w:r>
        <w:rPr>
          <w:rFonts w:hint="eastAsia" w:ascii="黑体" w:hAnsi="黑体" w:eastAsia="黑体"/>
          <w:color w:val="000000"/>
          <w:sz w:val="44"/>
          <w:szCs w:val="44"/>
        </w:rPr>
        <w:t>第</w:t>
      </w:r>
      <w:r>
        <w:rPr>
          <w:rStyle w:val="25"/>
          <w:rFonts w:hint="eastAsia" w:ascii="黑体" w:hAnsi="黑体" w:eastAsia="黑体"/>
          <w:b w:val="0"/>
        </w:rPr>
        <w:t>四部分 附件</w:t>
      </w:r>
      <w:bookmarkEnd w:id="49"/>
    </w:p>
    <w:p>
      <w:pPr>
        <w:keepNext w:val="0"/>
        <w:keepLines w:val="0"/>
        <w:pageBreakBefore w:val="0"/>
        <w:widowControl w:val="0"/>
        <w:kinsoku/>
        <w:wordWrap/>
        <w:overflowPunct/>
        <w:topLinePunct w:val="0"/>
        <w:autoSpaceDE/>
        <w:autoSpaceDN/>
        <w:bidi w:val="0"/>
        <w:spacing w:line="600" w:lineRule="exact"/>
        <w:jc w:val="both"/>
        <w:textAlignment w:val="auto"/>
        <w:rPr>
          <w:rFonts w:hint="eastAsia" w:ascii="方正小标宋简体" w:hAnsi="宋体" w:eastAsia="方正小标宋简体" w:cs="Times New Roman"/>
          <w:color w:val="auto"/>
          <w:kern w:val="0"/>
          <w:sz w:val="44"/>
          <w:szCs w:val="44"/>
          <w:lang w:val="zh-CN" w:eastAsia="zh-CN" w:bidi="ar-SA"/>
        </w:rPr>
      </w:pPr>
    </w:p>
    <w:p>
      <w:pPr>
        <w:pStyle w:val="32"/>
        <w:spacing w:line="600" w:lineRule="exact"/>
        <w:jc w:val="center"/>
        <w:rPr>
          <w:rFonts w:hint="eastAsia" w:asciiTheme="majorEastAsia" w:hAnsiTheme="majorEastAsia" w:eastAsiaTheme="majorEastAsia" w:cstheme="majorEastAsia"/>
          <w:b/>
          <w:sz w:val="40"/>
          <w:szCs w:val="40"/>
        </w:rPr>
      </w:pPr>
      <w:r>
        <w:rPr>
          <w:rFonts w:hint="eastAsia" w:asciiTheme="majorEastAsia" w:hAnsiTheme="majorEastAsia" w:eastAsiaTheme="majorEastAsia" w:cstheme="majorEastAsia"/>
          <w:b/>
          <w:sz w:val="40"/>
          <w:szCs w:val="40"/>
          <w:lang w:val="en-US" w:eastAsia="zh-CN"/>
        </w:rPr>
        <w:t>2020年</w:t>
      </w:r>
      <w:r>
        <w:rPr>
          <w:rFonts w:hint="eastAsia" w:asciiTheme="majorEastAsia" w:hAnsiTheme="majorEastAsia" w:eastAsiaTheme="majorEastAsia" w:cstheme="majorEastAsia"/>
          <w:b/>
          <w:sz w:val="40"/>
          <w:szCs w:val="40"/>
        </w:rPr>
        <w:t>都江堰灌区水利信息化（2018-2020年）</w:t>
      </w:r>
    </w:p>
    <w:p>
      <w:pPr>
        <w:pStyle w:val="32"/>
        <w:spacing w:line="600" w:lineRule="exact"/>
        <w:jc w:val="center"/>
        <w:rPr>
          <w:rFonts w:hint="eastAsia" w:asciiTheme="majorEastAsia" w:hAnsiTheme="majorEastAsia" w:eastAsiaTheme="majorEastAsia" w:cstheme="majorEastAsia"/>
          <w:b/>
          <w:bCs/>
          <w:color w:val="auto"/>
          <w:kern w:val="2"/>
          <w:sz w:val="40"/>
          <w:szCs w:val="40"/>
        </w:rPr>
      </w:pPr>
      <w:r>
        <w:rPr>
          <w:rFonts w:hint="eastAsia" w:asciiTheme="majorEastAsia" w:hAnsiTheme="majorEastAsia" w:eastAsiaTheme="majorEastAsia" w:cstheme="majorEastAsia"/>
          <w:b/>
          <w:bCs/>
          <w:color w:val="auto"/>
          <w:kern w:val="2"/>
          <w:sz w:val="40"/>
          <w:szCs w:val="40"/>
        </w:rPr>
        <w:t>项目支出绩效自评报告</w:t>
      </w:r>
    </w:p>
    <w:p>
      <w:pPr>
        <w:spacing w:line="360" w:lineRule="auto"/>
        <w:jc w:val="center"/>
        <w:rPr>
          <w:rFonts w:ascii="仿宋" w:hAnsi="仿宋" w:eastAsia="仿宋" w:cs="宋体"/>
          <w:b/>
          <w:bCs/>
          <w:sz w:val="32"/>
          <w:szCs w:val="32"/>
        </w:rPr>
      </w:pPr>
    </w:p>
    <w:p>
      <w:pPr>
        <w:adjustRightInd w:val="0"/>
        <w:snapToGrid w:val="0"/>
        <w:spacing w:line="600" w:lineRule="exact"/>
        <w:rPr>
          <w:rFonts w:ascii="仿宋" w:hAnsi="仿宋" w:eastAsia="仿宋" w:cs="仿宋"/>
          <w:sz w:val="32"/>
          <w:szCs w:val="32"/>
          <w:lang w:val="zh-CN"/>
        </w:rPr>
      </w:pPr>
      <w:r>
        <w:rPr>
          <w:rFonts w:hint="eastAsia" w:ascii="仿宋" w:hAnsi="仿宋" w:eastAsia="仿宋"/>
          <w:sz w:val="32"/>
          <w:szCs w:val="32"/>
          <w:lang w:val="zh-CN"/>
        </w:rPr>
        <w:t xml:space="preserve">     </w:t>
      </w:r>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p>
    <w:p>
      <w:pPr>
        <w:adjustRightInd w:val="0"/>
        <w:snapToGrid w:val="0"/>
        <w:spacing w:line="360" w:lineRule="auto"/>
        <w:ind w:firstLine="643" w:firstLineChars="200"/>
        <w:rPr>
          <w:rFonts w:ascii="仿宋" w:hAnsi="仿宋" w:eastAsia="仿宋" w:cs="仿宋"/>
          <w:b/>
          <w:sz w:val="32"/>
          <w:szCs w:val="32"/>
          <w:lang w:val="zh-CN"/>
        </w:rPr>
      </w:pPr>
      <w:r>
        <w:rPr>
          <w:rFonts w:hint="eastAsia" w:ascii="仿宋" w:hAnsi="仿宋" w:eastAsia="仿宋" w:cs="仿宋"/>
          <w:b/>
          <w:sz w:val="32"/>
          <w:szCs w:val="32"/>
          <w:lang w:val="zh-CN"/>
        </w:rPr>
        <w:t>（</w:t>
      </w:r>
      <w:r>
        <w:rPr>
          <w:rFonts w:hint="eastAsia" w:ascii="仿宋" w:hAnsi="仿宋" w:eastAsia="仿宋" w:cs="仿宋"/>
          <w:b/>
          <w:sz w:val="32"/>
          <w:szCs w:val="32"/>
        </w:rPr>
        <w:t>一</w:t>
      </w:r>
      <w:r>
        <w:rPr>
          <w:rFonts w:hint="eastAsia" w:ascii="仿宋" w:hAnsi="仿宋" w:eastAsia="仿宋" w:cs="仿宋"/>
          <w:b/>
          <w:sz w:val="32"/>
          <w:szCs w:val="32"/>
          <w:lang w:val="zh-CN"/>
        </w:rPr>
        <w:t>）项目资金申报及批复情况。</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1、2019年1月10日省发展和改革委以《关于都江堰灌区水利信息化建设项目可行性研究报告的批复》（川发改农经[2019]11号）批准都江堰灌区水利信息化建设项目的建设，批复工程估算总投资25959万元。</w:t>
      </w:r>
      <w:r>
        <w:rPr>
          <w:rFonts w:hint="eastAsia" w:ascii="仿宋" w:hAnsi="仿宋" w:eastAsia="仿宋" w:cs="仿宋"/>
          <w:bCs/>
          <w:sz w:val="32"/>
          <w:szCs w:val="32"/>
        </w:rPr>
        <w:t>四川省都江堰管理局为该项目项目法人。</w:t>
      </w:r>
    </w:p>
    <w:p>
      <w:pPr>
        <w:adjustRightInd w:val="0"/>
        <w:snapToGrid w:val="0"/>
        <w:spacing w:line="360" w:lineRule="auto"/>
        <w:ind w:firstLine="640" w:firstLineChars="200"/>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w:t>
      </w:r>
      <w:r>
        <w:rPr>
          <w:rFonts w:hint="eastAsia" w:ascii="仿宋" w:hAnsi="仿宋" w:eastAsia="仿宋" w:cs="仿宋"/>
          <w:sz w:val="32"/>
          <w:szCs w:val="32"/>
        </w:rPr>
        <w:t>2020年4月27日项目法人单位</w:t>
      </w:r>
      <w:r>
        <w:rPr>
          <w:rFonts w:hint="eastAsia" w:ascii="仿宋" w:hAnsi="仿宋" w:eastAsia="仿宋" w:cs="仿宋"/>
          <w:sz w:val="32"/>
          <w:szCs w:val="32"/>
          <w:lang w:val="zh-CN"/>
        </w:rPr>
        <w:t>制定</w:t>
      </w:r>
      <w:r>
        <w:rPr>
          <w:rFonts w:hint="eastAsia" w:ascii="仿宋" w:hAnsi="仿宋" w:eastAsia="仿宋" w:cs="仿宋"/>
          <w:sz w:val="32"/>
          <w:szCs w:val="32"/>
        </w:rPr>
        <w:t>了项目</w:t>
      </w:r>
      <w:r>
        <w:rPr>
          <w:rFonts w:hint="eastAsia" w:ascii="仿宋" w:hAnsi="仿宋" w:eastAsia="仿宋" w:cs="仿宋"/>
          <w:sz w:val="32"/>
          <w:szCs w:val="32"/>
          <w:lang w:val="zh-CN"/>
        </w:rPr>
        <w:t>资金管理</w:t>
      </w:r>
      <w:r>
        <w:rPr>
          <w:rFonts w:hint="eastAsia" w:ascii="仿宋" w:hAnsi="仿宋" w:eastAsia="仿宋" w:cs="仿宋"/>
          <w:sz w:val="32"/>
          <w:szCs w:val="32"/>
        </w:rPr>
        <w:t>制度</w:t>
      </w:r>
      <w:r>
        <w:rPr>
          <w:rFonts w:hint="eastAsia" w:ascii="仿宋" w:hAnsi="仿宋" w:eastAsia="仿宋" w:cs="仿宋"/>
          <w:sz w:val="32"/>
          <w:szCs w:val="32"/>
          <w:lang w:val="zh-CN"/>
        </w:rPr>
        <w:t>。</w:t>
      </w:r>
    </w:p>
    <w:p>
      <w:pPr>
        <w:adjustRightInd w:val="0"/>
        <w:snapToGrid w:val="0"/>
        <w:spacing w:line="60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lang w:val="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完善资金管理制度，优化支出结构，加强对财政预算资金及自筹资金的监督检查等方面的工作。</w:t>
      </w:r>
    </w:p>
    <w:p>
      <w:pPr>
        <w:adjustRightInd w:val="0"/>
        <w:snapToGrid w:val="0"/>
        <w:spacing w:line="360" w:lineRule="auto"/>
        <w:ind w:firstLine="643" w:firstLineChars="200"/>
        <w:rPr>
          <w:rFonts w:ascii="仿宋" w:hAnsi="仿宋" w:eastAsia="仿宋" w:cs="仿宋"/>
          <w:b/>
          <w:sz w:val="32"/>
          <w:szCs w:val="32"/>
          <w:lang w:val="zh-CN"/>
        </w:rPr>
      </w:pPr>
      <w:r>
        <w:rPr>
          <w:rFonts w:hint="eastAsia" w:ascii="仿宋" w:hAnsi="仿宋" w:eastAsia="仿宋" w:cs="仿宋"/>
          <w:b/>
          <w:sz w:val="32"/>
          <w:szCs w:val="32"/>
          <w:lang w:val="zh-CN"/>
        </w:rPr>
        <w:t>（</w:t>
      </w:r>
      <w:r>
        <w:rPr>
          <w:rFonts w:hint="eastAsia" w:ascii="仿宋" w:hAnsi="仿宋" w:eastAsia="仿宋" w:cs="仿宋"/>
          <w:b/>
          <w:sz w:val="32"/>
          <w:szCs w:val="32"/>
        </w:rPr>
        <w:t>二</w:t>
      </w:r>
      <w:r>
        <w:rPr>
          <w:rFonts w:hint="eastAsia" w:ascii="仿宋" w:hAnsi="仿宋" w:eastAsia="仿宋" w:cs="仿宋"/>
          <w:b/>
          <w:sz w:val="32"/>
          <w:szCs w:val="32"/>
          <w:lang w:val="zh-CN"/>
        </w:rPr>
        <w:t>）项目绩效目标。</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1、项目主要建设内容包括：建设智慧灌区大数据平台，智慧灌区能力建设、指挥调度中心，建设物联感控体系、综合业务应用体系和保障环境体系等。</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2、建设目标：充分运用物联网、云计算、大数据等新兴信息技术，构建“一个平台、两个中心、三大体系”，实现都江堰灌区信息全面感知呈现、水资源高效管理、防汛科学调度、工程标准化运行、业务在线协同、保障安全可靠的总体目标。</w:t>
      </w:r>
    </w:p>
    <w:p>
      <w:pPr>
        <w:numPr>
          <w:ilvl w:val="0"/>
          <w:numId w:val="4"/>
        </w:numPr>
        <w:adjustRightInd w:val="0"/>
        <w:snapToGrid w:val="0"/>
        <w:spacing w:line="360" w:lineRule="auto"/>
        <w:ind w:firstLine="643" w:firstLineChars="200"/>
        <w:rPr>
          <w:rFonts w:ascii="仿宋" w:hAnsi="仿宋" w:eastAsia="仿宋" w:cs="仿宋"/>
          <w:b/>
          <w:sz w:val="32"/>
          <w:szCs w:val="32"/>
          <w:lang w:val="zh-CN"/>
        </w:rPr>
      </w:pPr>
      <w:r>
        <w:rPr>
          <w:rFonts w:hint="eastAsia" w:ascii="仿宋" w:hAnsi="仿宋" w:eastAsia="仿宋" w:cs="仿宋"/>
          <w:b/>
          <w:sz w:val="32"/>
          <w:szCs w:val="32"/>
          <w:lang w:val="zh-CN"/>
        </w:rPr>
        <w:t>项目资金申报相符性。</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项目申报内容与具体实施内容相符，申报目标合理可行。</w:t>
      </w:r>
    </w:p>
    <w:p>
      <w:pPr>
        <w:adjustRightInd w:val="0"/>
        <w:snapToGrid w:val="0"/>
        <w:spacing w:line="600" w:lineRule="exact"/>
        <w:ind w:firstLine="720"/>
        <w:rPr>
          <w:rFonts w:ascii="仿宋" w:hAnsi="仿宋" w:eastAsia="仿宋" w:cs="仿宋"/>
          <w:b/>
          <w:bCs/>
          <w:sz w:val="32"/>
          <w:szCs w:val="32"/>
        </w:rPr>
      </w:pPr>
      <w:r>
        <w:rPr>
          <w:rFonts w:hint="eastAsia" w:ascii="仿宋" w:hAnsi="仿宋" w:eastAsia="仿宋" w:cs="仿宋"/>
          <w:b/>
          <w:bCs/>
          <w:sz w:val="32"/>
          <w:szCs w:val="32"/>
        </w:rPr>
        <w:t>二、项目实施及管理情况</w:t>
      </w:r>
    </w:p>
    <w:p>
      <w:pPr>
        <w:adjustRightInd w:val="0"/>
        <w:snapToGrid w:val="0"/>
        <w:spacing w:line="600" w:lineRule="exact"/>
        <w:ind w:firstLine="720"/>
        <w:rPr>
          <w:rFonts w:ascii="仿宋" w:hAnsi="仿宋" w:eastAsia="仿宋" w:cs="仿宋"/>
          <w:b/>
          <w:sz w:val="32"/>
          <w:szCs w:val="32"/>
          <w:lang w:val="zh-CN"/>
        </w:rPr>
      </w:pPr>
      <w:r>
        <w:rPr>
          <w:rFonts w:hint="eastAsia" w:ascii="仿宋" w:hAnsi="仿宋" w:eastAsia="仿宋" w:cs="仿宋"/>
          <w:sz w:val="32"/>
          <w:szCs w:val="32"/>
          <w:lang w:val="zh-CN"/>
        </w:rPr>
        <w:tab/>
      </w:r>
      <w:r>
        <w:rPr>
          <w:rFonts w:hint="eastAsia" w:ascii="仿宋" w:hAnsi="仿宋" w:eastAsia="仿宋" w:cs="仿宋"/>
          <w:b/>
          <w:sz w:val="32"/>
          <w:szCs w:val="32"/>
          <w:lang w:val="zh-CN"/>
        </w:rPr>
        <w:t>（一）资金计划、到位及使用情况。</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省发改委、省水利厅分别以川发改投资[2017]66号、[2018]53号、[2019]168号、[2020]473号）下达都江堰灌区水利信息化建设项目投资计划下达890万元（中央投资712万元，自筹178万元）、5000万元（中央投资4000万元，自筹1000万元）、8000万元（中央投资6400万元，自筹1600万元）、7684万元（中央投资6417万元，自筹1537万元）。截止2020年12月底累计下达投资计划21574万元（中央投资17259万元，地方投资4315万元）。</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截止2020年12月底，该项目投资计划实际到位中央资金17259万元、单位自筹资金到位212.72万元，中央资金到位率100%，到位及时。自筹资金到到位不及时的原因为可研于2019年1月10日批复，项目采用EPC模式建设，2019-2020年上半年尚处于设计阶段，资金使用及需求较少。</w:t>
      </w:r>
    </w:p>
    <w:p>
      <w:pPr>
        <w:adjustRightInd w:val="0"/>
        <w:snapToGrid w:val="0"/>
        <w:spacing w:line="600" w:lineRule="exact"/>
        <w:ind w:firstLine="720"/>
        <w:rPr>
          <w:rFonts w:ascii="仿宋" w:hAnsi="仿宋" w:eastAsia="仿宋" w:cs="仿宋"/>
          <w:b/>
          <w:sz w:val="32"/>
          <w:szCs w:val="32"/>
          <w:lang w:val="zh-CN"/>
        </w:rPr>
      </w:pPr>
      <w:r>
        <w:rPr>
          <w:rFonts w:hint="eastAsia" w:ascii="仿宋" w:hAnsi="仿宋" w:eastAsia="仿宋" w:cs="仿宋"/>
          <w:b/>
          <w:sz w:val="32"/>
          <w:szCs w:val="32"/>
          <w:lang w:val="zh-CN"/>
        </w:rPr>
        <w:t>（二）项目财务管理情况。</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2020年4月27日信息化建设办以《关于印发&lt;都江堰灌区水利信息化建设项目财务管理办法&gt;的通知》（灌区信息办发[2020]3号）建立了财务管理制度。</w:t>
      </w:r>
    </w:p>
    <w:p>
      <w:pPr>
        <w:adjustRightInd w:val="0"/>
        <w:snapToGrid w:val="0"/>
        <w:spacing w:line="360" w:lineRule="auto"/>
        <w:ind w:firstLine="640" w:firstLineChars="200"/>
        <w:rPr>
          <w:rFonts w:ascii="仿宋" w:hAnsi="仿宋" w:eastAsia="仿宋" w:cs="宋体"/>
          <w:b/>
          <w:sz w:val="32"/>
          <w:szCs w:val="32"/>
        </w:rPr>
      </w:pPr>
      <w:r>
        <w:rPr>
          <w:rFonts w:hint="eastAsia" w:ascii="仿宋" w:hAnsi="仿宋" w:eastAsia="仿宋" w:cs="宋体"/>
          <w:sz w:val="32"/>
          <w:szCs w:val="32"/>
        </w:rPr>
        <w:t>信息化项目严格执行财务管理制度，财务处理及时，会计核算规范。</w:t>
      </w:r>
    </w:p>
    <w:p>
      <w:pPr>
        <w:adjustRightInd w:val="0"/>
        <w:snapToGrid w:val="0"/>
        <w:spacing w:line="600" w:lineRule="exact"/>
        <w:ind w:firstLine="720"/>
        <w:rPr>
          <w:rFonts w:ascii="仿宋" w:hAnsi="仿宋" w:eastAsia="仿宋" w:cs="仿宋"/>
          <w:b/>
          <w:sz w:val="32"/>
          <w:szCs w:val="32"/>
          <w:lang w:val="zh-CN"/>
        </w:rPr>
      </w:pPr>
      <w:r>
        <w:rPr>
          <w:rFonts w:hint="eastAsia" w:ascii="仿宋" w:hAnsi="仿宋" w:eastAsia="仿宋" w:cs="仿宋"/>
          <w:b/>
          <w:sz w:val="32"/>
          <w:szCs w:val="32"/>
          <w:lang w:val="zh-CN"/>
        </w:rPr>
        <w:t>（三）项目组织实施情况。</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为规范都江堰灌区水利信息化项目的建设管理工作，管理局于</w:t>
      </w:r>
      <w:r>
        <w:rPr>
          <w:rFonts w:ascii="仿宋" w:hAnsi="仿宋" w:eastAsia="仿宋" w:cs="宋体"/>
          <w:sz w:val="32"/>
          <w:szCs w:val="32"/>
        </w:rPr>
        <w:t>2019</w:t>
      </w:r>
      <w:r>
        <w:rPr>
          <w:rFonts w:hint="eastAsia" w:ascii="仿宋" w:hAnsi="仿宋" w:eastAsia="仿宋" w:cs="宋体"/>
          <w:sz w:val="32"/>
          <w:szCs w:val="32"/>
        </w:rPr>
        <w:t>年</w:t>
      </w:r>
      <w:r>
        <w:rPr>
          <w:rFonts w:ascii="仿宋" w:hAnsi="仿宋" w:eastAsia="仿宋" w:cs="宋体"/>
          <w:sz w:val="32"/>
          <w:szCs w:val="32"/>
        </w:rPr>
        <w:t>12</w:t>
      </w:r>
      <w:r>
        <w:rPr>
          <w:rFonts w:hint="eastAsia" w:ascii="仿宋" w:hAnsi="仿宋" w:eastAsia="仿宋" w:cs="宋体"/>
          <w:sz w:val="32"/>
          <w:szCs w:val="32"/>
        </w:rPr>
        <w:t>月</w:t>
      </w:r>
      <w:r>
        <w:rPr>
          <w:rFonts w:ascii="仿宋" w:hAnsi="仿宋" w:eastAsia="仿宋" w:cs="宋体"/>
          <w:sz w:val="32"/>
          <w:szCs w:val="32"/>
        </w:rPr>
        <w:t>31</w:t>
      </w:r>
      <w:r>
        <w:rPr>
          <w:rFonts w:hint="eastAsia" w:ascii="仿宋" w:hAnsi="仿宋" w:eastAsia="仿宋" w:cs="宋体"/>
          <w:sz w:val="32"/>
          <w:szCs w:val="32"/>
        </w:rPr>
        <w:t>日以《关于成立四川省都江堰管理局都江堰灌区水利信息化建设办公室的通知》（都局发</w:t>
      </w:r>
      <w:r>
        <w:rPr>
          <w:rFonts w:ascii="仿宋" w:hAnsi="仿宋" w:eastAsia="仿宋" w:cs="宋体"/>
          <w:sz w:val="32"/>
          <w:szCs w:val="32"/>
        </w:rPr>
        <w:t>[2019]196</w:t>
      </w:r>
      <w:r>
        <w:rPr>
          <w:rFonts w:hint="eastAsia" w:ascii="仿宋" w:hAnsi="仿宋" w:eastAsia="仿宋" w:cs="宋体"/>
          <w:sz w:val="32"/>
          <w:szCs w:val="32"/>
        </w:rPr>
        <w:t>号）成立了局都江堰灌区水利信息化建设办公室（简称建设办），建设办由技术组和综合组组成，基本确定了相应的职责和分工。</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信息化建设办于2020年3月31日以《关于印发&lt;都江堰灌区水利信息化建设办公室廉政自律规定&gt;的通知》（灌区信息办发[2020]2号）出台了廉政自律规定。</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水利信息化建设项目严格按照执行业主负责制、招标投标制、建设监理制、合同管理制，建设办于2019年</w:t>
      </w:r>
      <w:r>
        <w:rPr>
          <w:rFonts w:ascii="仿宋" w:hAnsi="仿宋" w:eastAsia="仿宋" w:cs="宋体"/>
          <w:sz w:val="32"/>
          <w:szCs w:val="32"/>
        </w:rPr>
        <w:t>4</w:t>
      </w:r>
      <w:r>
        <w:rPr>
          <w:rFonts w:hint="eastAsia" w:ascii="仿宋" w:hAnsi="仿宋" w:eastAsia="仿宋" w:cs="宋体"/>
          <w:sz w:val="32"/>
          <w:szCs w:val="32"/>
        </w:rPr>
        <w:t>月</w:t>
      </w:r>
      <w:r>
        <w:rPr>
          <w:rFonts w:ascii="仿宋" w:hAnsi="仿宋" w:eastAsia="仿宋" w:cs="宋体"/>
          <w:sz w:val="32"/>
          <w:szCs w:val="32"/>
        </w:rPr>
        <w:t>23</w:t>
      </w:r>
      <w:r>
        <w:rPr>
          <w:rFonts w:hint="eastAsia" w:ascii="仿宋" w:hAnsi="仿宋" w:eastAsia="仿宋" w:cs="宋体"/>
          <w:sz w:val="32"/>
          <w:szCs w:val="32"/>
        </w:rPr>
        <w:t>日在四川省公共资源交易中心公开比选招标代理机构，于</w:t>
      </w:r>
      <w:r>
        <w:rPr>
          <w:rFonts w:ascii="仿宋" w:hAnsi="仿宋" w:eastAsia="仿宋" w:cs="宋体"/>
          <w:sz w:val="32"/>
          <w:szCs w:val="32"/>
        </w:rPr>
        <w:t>2019</w:t>
      </w:r>
      <w:r>
        <w:rPr>
          <w:rFonts w:hint="eastAsia" w:ascii="仿宋" w:hAnsi="仿宋" w:eastAsia="仿宋" w:cs="宋体"/>
          <w:sz w:val="32"/>
          <w:szCs w:val="32"/>
        </w:rPr>
        <w:t>年</w:t>
      </w:r>
      <w:r>
        <w:rPr>
          <w:rFonts w:ascii="仿宋" w:hAnsi="仿宋" w:eastAsia="仿宋" w:cs="宋体"/>
          <w:sz w:val="32"/>
          <w:szCs w:val="32"/>
        </w:rPr>
        <w:t>7</w:t>
      </w:r>
      <w:r>
        <w:rPr>
          <w:rFonts w:hint="eastAsia" w:ascii="仿宋" w:hAnsi="仿宋" w:eastAsia="仿宋" w:cs="宋体"/>
          <w:sz w:val="32"/>
          <w:szCs w:val="32"/>
        </w:rPr>
        <w:t>月</w:t>
      </w:r>
      <w:r>
        <w:rPr>
          <w:rFonts w:ascii="仿宋" w:hAnsi="仿宋" w:eastAsia="仿宋" w:cs="宋体"/>
          <w:sz w:val="32"/>
          <w:szCs w:val="32"/>
        </w:rPr>
        <w:t>12</w:t>
      </w:r>
      <w:r>
        <w:rPr>
          <w:rFonts w:hint="eastAsia" w:ascii="仿宋" w:hAnsi="仿宋" w:eastAsia="仿宋" w:cs="宋体"/>
          <w:sz w:val="32"/>
          <w:szCs w:val="32"/>
        </w:rPr>
        <w:t>日在四川省公共资源交易服务中心公开招标EPC总承包商，于</w:t>
      </w:r>
      <w:r>
        <w:rPr>
          <w:rFonts w:ascii="仿宋" w:hAnsi="仿宋" w:eastAsia="仿宋" w:cs="宋体"/>
          <w:sz w:val="32"/>
          <w:szCs w:val="32"/>
        </w:rPr>
        <w:t>2019</w:t>
      </w:r>
      <w:r>
        <w:rPr>
          <w:rFonts w:hint="eastAsia" w:ascii="仿宋" w:hAnsi="仿宋" w:eastAsia="仿宋" w:cs="宋体"/>
          <w:sz w:val="32"/>
          <w:szCs w:val="32"/>
        </w:rPr>
        <w:t>年</w:t>
      </w:r>
      <w:r>
        <w:rPr>
          <w:rFonts w:ascii="仿宋" w:hAnsi="仿宋" w:eastAsia="仿宋" w:cs="宋体"/>
          <w:sz w:val="32"/>
          <w:szCs w:val="32"/>
        </w:rPr>
        <w:t>12</w:t>
      </w:r>
      <w:r>
        <w:rPr>
          <w:rFonts w:hint="eastAsia" w:ascii="仿宋" w:hAnsi="仿宋" w:eastAsia="仿宋" w:cs="宋体"/>
          <w:sz w:val="32"/>
          <w:szCs w:val="32"/>
        </w:rPr>
        <w:t>月</w:t>
      </w:r>
      <w:r>
        <w:rPr>
          <w:rFonts w:ascii="仿宋" w:hAnsi="仿宋" w:eastAsia="仿宋" w:cs="宋体"/>
          <w:sz w:val="32"/>
          <w:szCs w:val="32"/>
        </w:rPr>
        <w:t>6</w:t>
      </w:r>
      <w:r>
        <w:rPr>
          <w:rFonts w:hint="eastAsia" w:ascii="仿宋" w:hAnsi="仿宋" w:eastAsia="仿宋" w:cs="宋体"/>
          <w:sz w:val="32"/>
          <w:szCs w:val="32"/>
        </w:rPr>
        <w:t>日在四川省公共资源交易服务中心公开招标监理。</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建设办严格按照与参建各方签订的合同开展项目管理。</w:t>
      </w:r>
    </w:p>
    <w:p>
      <w:pPr>
        <w:adjustRightInd w:val="0"/>
        <w:snapToGrid w:val="0"/>
        <w:spacing w:line="600" w:lineRule="exact"/>
        <w:ind w:firstLine="720"/>
        <w:rPr>
          <w:rFonts w:ascii="仿宋" w:hAnsi="仿宋" w:eastAsia="仿宋" w:cs="仿宋"/>
          <w:b/>
          <w:bCs/>
          <w:sz w:val="32"/>
          <w:szCs w:val="32"/>
          <w:lang w:val="zh-CN"/>
        </w:rPr>
      </w:pPr>
      <w:r>
        <w:rPr>
          <w:rFonts w:hint="eastAsia" w:ascii="仿宋" w:hAnsi="仿宋" w:eastAsia="仿宋" w:cs="仿宋"/>
          <w:b/>
          <w:bCs/>
          <w:sz w:val="32"/>
          <w:szCs w:val="32"/>
        </w:rPr>
        <w:t>三、项目绩效情况</w:t>
      </w:r>
      <w:r>
        <w:rPr>
          <w:rFonts w:hint="eastAsia" w:ascii="仿宋" w:hAnsi="仿宋" w:eastAsia="仿宋" w:cs="仿宋"/>
          <w:b/>
          <w:bCs/>
          <w:sz w:val="32"/>
          <w:szCs w:val="32"/>
          <w:lang w:val="zh-CN"/>
        </w:rPr>
        <w:tab/>
      </w:r>
    </w:p>
    <w:p>
      <w:pPr>
        <w:adjustRightInd w:val="0"/>
        <w:snapToGrid w:val="0"/>
        <w:spacing w:line="600" w:lineRule="exact"/>
        <w:ind w:firstLine="720"/>
        <w:rPr>
          <w:rFonts w:ascii="仿宋" w:hAnsi="仿宋" w:eastAsia="仿宋" w:cs="仿宋"/>
          <w:b/>
          <w:sz w:val="32"/>
          <w:szCs w:val="32"/>
          <w:lang w:val="zh-CN"/>
        </w:rPr>
      </w:pPr>
      <w:r>
        <w:rPr>
          <w:rFonts w:hint="eastAsia" w:ascii="仿宋" w:hAnsi="仿宋" w:eastAsia="仿宋" w:cs="仿宋"/>
          <w:b/>
          <w:sz w:val="32"/>
          <w:szCs w:val="32"/>
          <w:lang w:val="zh-CN"/>
        </w:rPr>
        <w:t>（一）项目完成情况。</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截止目前，完成了都江堰灌区水利信息化建设项目（第一阶段）初步设计报告。2020年7月21日省水利厅以《关于都江堰灌区水利信息化建设项目（第一阶段）初步设计报告的批复》（川水函[2020]931号）对项目第一阶段的建设内容和投资概算进行了批复，批复第一阶段项目概算投资1</w:t>
      </w:r>
      <w:r>
        <w:rPr>
          <w:rFonts w:ascii="仿宋" w:hAnsi="仿宋" w:eastAsia="仿宋" w:cs="宋体"/>
          <w:sz w:val="32"/>
          <w:szCs w:val="32"/>
        </w:rPr>
        <w:t>.98</w:t>
      </w:r>
      <w:r>
        <w:rPr>
          <w:rFonts w:hint="eastAsia" w:ascii="仿宋" w:hAnsi="仿宋" w:eastAsia="仿宋" w:cs="宋体"/>
          <w:sz w:val="32"/>
          <w:szCs w:val="32"/>
        </w:rPr>
        <w:t>亿元。</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2020年8月1日项目进入施工实施阶段。</w:t>
      </w:r>
    </w:p>
    <w:p>
      <w:pPr>
        <w:adjustRightInd w:val="0"/>
        <w:snapToGrid w:val="0"/>
        <w:spacing w:line="360" w:lineRule="auto"/>
        <w:ind w:firstLine="643" w:firstLineChars="200"/>
        <w:rPr>
          <w:rFonts w:ascii="仿宋" w:hAnsi="仿宋" w:eastAsia="仿宋" w:cs="仿宋"/>
          <w:b/>
          <w:sz w:val="32"/>
          <w:szCs w:val="32"/>
          <w:lang w:val="zh-CN"/>
        </w:rPr>
      </w:pPr>
      <w:r>
        <w:rPr>
          <w:rFonts w:hint="eastAsia" w:ascii="仿宋" w:hAnsi="仿宋" w:eastAsia="仿宋" w:cs="仿宋"/>
          <w:b/>
          <w:sz w:val="32"/>
          <w:szCs w:val="32"/>
          <w:lang w:val="zh-CN"/>
        </w:rPr>
        <w:t>（二）项目效益情况。</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都江堰灌区水利信息化建设项目将全面提升水利业务应用水平，推进都江堰灌区水治理体系和水治理能力现代化，为新时代水利改革发展提供全面支撑，其社会效益和经济效益非常显著。</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1、社会效益</w:t>
      </w:r>
    </w:p>
    <w:p>
      <w:pPr>
        <w:adjustRightInd w:val="0"/>
        <w:snapToGrid w:val="0"/>
        <w:spacing w:line="360" w:lineRule="auto"/>
        <w:ind w:firstLine="480" w:firstLineChars="150"/>
        <w:rPr>
          <w:rFonts w:ascii="仿宋" w:hAnsi="仿宋" w:eastAsia="仿宋" w:cs="宋体"/>
          <w:sz w:val="32"/>
          <w:szCs w:val="32"/>
        </w:rPr>
      </w:pPr>
      <w:r>
        <w:rPr>
          <w:rFonts w:hint="eastAsia" w:ascii="仿宋" w:hAnsi="仿宋" w:eastAsia="仿宋" w:cs="宋体"/>
          <w:sz w:val="32"/>
          <w:szCs w:val="32"/>
        </w:rPr>
        <w:t>（1）推进灌区信息化能力提升建设，支撑新时代水利健康发展。</w:t>
      </w:r>
    </w:p>
    <w:p>
      <w:pPr>
        <w:adjustRightInd w:val="0"/>
        <w:snapToGrid w:val="0"/>
        <w:spacing w:line="360" w:lineRule="auto"/>
        <w:ind w:firstLine="480" w:firstLineChars="150"/>
        <w:rPr>
          <w:rFonts w:ascii="仿宋" w:hAnsi="仿宋" w:eastAsia="仿宋" w:cs="宋体"/>
          <w:sz w:val="32"/>
          <w:szCs w:val="32"/>
        </w:rPr>
      </w:pPr>
      <w:r>
        <w:rPr>
          <w:rFonts w:hint="eastAsia" w:ascii="仿宋" w:hAnsi="仿宋" w:eastAsia="仿宋" w:cs="宋体"/>
          <w:sz w:val="32"/>
          <w:szCs w:val="32"/>
        </w:rPr>
        <w:t>（2）解决新时代治水矛盾，满足灌区对治水管理的需要。</w:t>
      </w:r>
    </w:p>
    <w:p>
      <w:pPr>
        <w:adjustRightInd w:val="0"/>
        <w:snapToGrid w:val="0"/>
        <w:spacing w:line="360" w:lineRule="auto"/>
        <w:ind w:firstLine="480" w:firstLineChars="150"/>
        <w:rPr>
          <w:rFonts w:ascii="仿宋" w:hAnsi="仿宋" w:eastAsia="仿宋" w:cs="宋体"/>
          <w:sz w:val="32"/>
          <w:szCs w:val="32"/>
        </w:rPr>
      </w:pPr>
      <w:r>
        <w:rPr>
          <w:rFonts w:hint="eastAsia" w:ascii="仿宋" w:hAnsi="仿宋" w:eastAsia="仿宋" w:cs="宋体"/>
          <w:sz w:val="32"/>
          <w:szCs w:val="32"/>
        </w:rPr>
        <w:t>（3）提高灌区水利工程设施效能，提升水利建设综合价值。</w:t>
      </w:r>
    </w:p>
    <w:p>
      <w:pPr>
        <w:adjustRightInd w:val="0"/>
        <w:snapToGrid w:val="0"/>
        <w:spacing w:line="360" w:lineRule="auto"/>
        <w:ind w:firstLine="480" w:firstLineChars="150"/>
        <w:rPr>
          <w:rFonts w:ascii="仿宋" w:hAnsi="仿宋" w:eastAsia="仿宋" w:cs="宋体"/>
          <w:sz w:val="32"/>
          <w:szCs w:val="32"/>
        </w:rPr>
      </w:pPr>
      <w:r>
        <w:rPr>
          <w:rFonts w:hint="eastAsia" w:ascii="仿宋" w:hAnsi="仿宋" w:eastAsia="仿宋" w:cs="宋体"/>
          <w:sz w:val="32"/>
          <w:szCs w:val="32"/>
        </w:rPr>
        <w:t>（4）应用新一代先进技术，推动灌区水利科技全面创新与发展。</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2、经济效益</w:t>
      </w:r>
    </w:p>
    <w:p>
      <w:pPr>
        <w:adjustRightInd w:val="0"/>
        <w:snapToGrid w:val="0"/>
        <w:spacing w:line="360" w:lineRule="auto"/>
        <w:ind w:firstLine="480" w:firstLineChars="150"/>
        <w:rPr>
          <w:rFonts w:ascii="仿宋" w:hAnsi="仿宋" w:eastAsia="仿宋" w:cs="宋体"/>
          <w:sz w:val="32"/>
          <w:szCs w:val="32"/>
        </w:rPr>
      </w:pPr>
      <w:r>
        <w:rPr>
          <w:rFonts w:hint="eastAsia" w:ascii="仿宋" w:hAnsi="仿宋" w:eastAsia="仿宋" w:cs="宋体"/>
          <w:sz w:val="32"/>
          <w:szCs w:val="32"/>
        </w:rPr>
        <w:t>（</w:t>
      </w:r>
      <w:r>
        <w:rPr>
          <w:rFonts w:ascii="仿宋" w:hAnsi="仿宋" w:eastAsia="仿宋" w:cs="宋体"/>
          <w:sz w:val="32"/>
          <w:szCs w:val="32"/>
        </w:rPr>
        <w:t>1</w:t>
      </w:r>
      <w:r>
        <w:rPr>
          <w:rFonts w:hint="eastAsia" w:ascii="仿宋" w:hAnsi="仿宋" w:eastAsia="仿宋" w:cs="宋体"/>
          <w:sz w:val="32"/>
          <w:szCs w:val="32"/>
        </w:rPr>
        <w:t>）提升资源集约化能力，提高资源应用的综合效益。</w:t>
      </w:r>
    </w:p>
    <w:p>
      <w:pPr>
        <w:adjustRightInd w:val="0"/>
        <w:snapToGrid w:val="0"/>
        <w:spacing w:line="360" w:lineRule="auto"/>
        <w:ind w:firstLine="480" w:firstLineChars="150"/>
        <w:rPr>
          <w:rFonts w:ascii="仿宋" w:hAnsi="仿宋" w:eastAsia="仿宋" w:cs="宋体"/>
          <w:sz w:val="32"/>
          <w:szCs w:val="32"/>
        </w:rPr>
      </w:pPr>
      <w:r>
        <w:rPr>
          <w:rFonts w:hint="eastAsia" w:ascii="仿宋" w:hAnsi="仿宋" w:eastAsia="仿宋" w:cs="宋体"/>
          <w:sz w:val="32"/>
          <w:szCs w:val="32"/>
        </w:rPr>
        <w:t>（</w:t>
      </w:r>
      <w:r>
        <w:rPr>
          <w:rFonts w:ascii="仿宋" w:hAnsi="仿宋" w:eastAsia="仿宋" w:cs="宋体"/>
          <w:sz w:val="32"/>
          <w:szCs w:val="32"/>
        </w:rPr>
        <w:t>2</w:t>
      </w:r>
      <w:r>
        <w:rPr>
          <w:rFonts w:hint="eastAsia" w:ascii="仿宋" w:hAnsi="仿宋" w:eastAsia="仿宋" w:cs="宋体"/>
          <w:sz w:val="32"/>
          <w:szCs w:val="32"/>
        </w:rPr>
        <w:t>）提升资源管理服务水平，发挥投资效益。</w:t>
      </w:r>
    </w:p>
    <w:p>
      <w:pPr>
        <w:adjustRightInd w:val="0"/>
        <w:snapToGrid w:val="0"/>
        <w:spacing w:line="360" w:lineRule="auto"/>
        <w:ind w:firstLine="480" w:firstLineChars="150"/>
        <w:rPr>
          <w:rFonts w:ascii="仿宋" w:hAnsi="仿宋" w:eastAsia="仿宋" w:cs="宋体"/>
          <w:sz w:val="32"/>
          <w:szCs w:val="32"/>
        </w:rPr>
      </w:pPr>
      <w:r>
        <w:rPr>
          <w:rFonts w:hint="eastAsia" w:ascii="仿宋" w:hAnsi="仿宋" w:eastAsia="仿宋" w:cs="宋体"/>
          <w:sz w:val="32"/>
          <w:szCs w:val="32"/>
        </w:rPr>
        <w:t>（</w:t>
      </w:r>
      <w:r>
        <w:rPr>
          <w:rFonts w:ascii="仿宋" w:hAnsi="仿宋" w:eastAsia="仿宋" w:cs="宋体"/>
          <w:sz w:val="32"/>
          <w:szCs w:val="32"/>
        </w:rPr>
        <w:t>3</w:t>
      </w:r>
      <w:r>
        <w:rPr>
          <w:rFonts w:hint="eastAsia" w:ascii="仿宋" w:hAnsi="仿宋" w:eastAsia="仿宋" w:cs="宋体"/>
          <w:sz w:val="32"/>
          <w:szCs w:val="32"/>
        </w:rPr>
        <w:t>）结合专家模型，推进水资源高效、防汛减灾等的应用，可有效降低灾害带来的损失。</w:t>
      </w:r>
    </w:p>
    <w:p>
      <w:pPr>
        <w:spacing w:line="600" w:lineRule="exact"/>
        <w:jc w:val="center"/>
        <w:rPr>
          <w:rFonts w:hint="eastAsia" w:ascii="仿宋" w:hAnsi="仿宋" w:eastAsia="仿宋"/>
          <w:b/>
          <w:kern w:val="0"/>
          <w:sz w:val="32"/>
          <w:szCs w:val="32"/>
          <w:lang w:val="zh-CN"/>
        </w:rPr>
      </w:pPr>
      <w:r>
        <w:rPr>
          <w:rFonts w:hint="eastAsia" w:ascii="仿宋" w:hAnsi="仿宋" w:eastAsia="仿宋"/>
          <w:b/>
          <w:kern w:val="0"/>
          <w:sz w:val="32"/>
          <w:szCs w:val="32"/>
          <w:lang w:val="en-US" w:eastAsia="zh-CN"/>
        </w:rPr>
        <w:t>2020年</w:t>
      </w:r>
      <w:r>
        <w:rPr>
          <w:rFonts w:hint="eastAsia" w:ascii="仿宋" w:hAnsi="仿宋" w:eastAsia="仿宋"/>
          <w:b/>
          <w:kern w:val="0"/>
          <w:sz w:val="32"/>
          <w:szCs w:val="32"/>
          <w:lang w:val="zh-CN"/>
        </w:rPr>
        <w:t>渠首日常维修养护项目</w:t>
      </w:r>
    </w:p>
    <w:p>
      <w:pPr>
        <w:spacing w:line="600" w:lineRule="exact"/>
        <w:jc w:val="center"/>
        <w:rPr>
          <w:rFonts w:ascii="仿宋" w:hAnsi="仿宋" w:eastAsia="仿宋"/>
          <w:b/>
          <w:kern w:val="0"/>
          <w:sz w:val="32"/>
          <w:szCs w:val="32"/>
          <w:lang w:val="zh-CN"/>
        </w:rPr>
      </w:pPr>
      <w:r>
        <w:rPr>
          <w:rFonts w:hint="eastAsia" w:ascii="仿宋" w:hAnsi="仿宋" w:eastAsia="仿宋"/>
          <w:b/>
          <w:kern w:val="0"/>
          <w:sz w:val="32"/>
          <w:szCs w:val="32"/>
          <w:lang w:val="zh-CN"/>
        </w:rPr>
        <w:t>支出绩效自评报告</w:t>
      </w:r>
    </w:p>
    <w:p>
      <w:pPr>
        <w:spacing w:line="600" w:lineRule="exact"/>
        <w:jc w:val="center"/>
        <w:rPr>
          <w:rFonts w:ascii="仿宋" w:hAnsi="仿宋" w:eastAsia="仿宋"/>
          <w:sz w:val="32"/>
          <w:szCs w:val="32"/>
          <w:lang w:val="zh-CN"/>
        </w:rPr>
      </w:pPr>
    </w:p>
    <w:p>
      <w:pPr>
        <w:adjustRightInd w:val="0"/>
        <w:snapToGrid w:val="0"/>
        <w:spacing w:line="600" w:lineRule="exact"/>
        <w:rPr>
          <w:rFonts w:ascii="仿宋" w:hAnsi="仿宋" w:eastAsia="仿宋"/>
          <w:sz w:val="32"/>
          <w:szCs w:val="32"/>
          <w:lang w:val="zh-CN"/>
        </w:rPr>
      </w:pPr>
      <w:r>
        <w:rPr>
          <w:rFonts w:hint="eastAsia" w:ascii="仿宋" w:hAnsi="仿宋" w:eastAsia="仿宋"/>
          <w:sz w:val="32"/>
          <w:szCs w:val="32"/>
          <w:lang w:val="zh-CN"/>
        </w:rPr>
        <w:t xml:space="preserve">    </w:t>
      </w:r>
      <w:r>
        <w:rPr>
          <w:rFonts w:hint="eastAsia" w:ascii="仿宋" w:hAnsi="仿宋" w:eastAsia="仿宋"/>
          <w:b/>
          <w:bCs/>
          <w:sz w:val="32"/>
          <w:szCs w:val="32"/>
          <w:lang w:val="zh-CN"/>
        </w:rPr>
        <w:t xml:space="preserve"> </w:t>
      </w:r>
      <w:r>
        <w:rPr>
          <w:rFonts w:hint="eastAsia" w:ascii="仿宋" w:hAnsi="仿宋" w:eastAsia="仿宋"/>
          <w:b/>
          <w:bCs/>
          <w:sz w:val="32"/>
          <w:szCs w:val="32"/>
        </w:rPr>
        <w:t>一、</w:t>
      </w:r>
      <w:r>
        <w:rPr>
          <w:rFonts w:hint="eastAsia" w:ascii="仿宋" w:hAnsi="仿宋" w:eastAsia="仿宋"/>
          <w:b/>
          <w:bCs/>
          <w:sz w:val="32"/>
          <w:szCs w:val="32"/>
          <w:lang w:val="zh-CN"/>
        </w:rPr>
        <w:t>项目概况</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b/>
          <w:sz w:val="32"/>
          <w:szCs w:val="32"/>
          <w:lang w:val="zh-CN"/>
        </w:rPr>
        <w:t>（一）项目资金申报及批复情况。</w:t>
      </w:r>
      <w:r>
        <w:rPr>
          <w:rFonts w:hint="eastAsia" w:ascii="仿宋" w:hAnsi="仿宋" w:eastAsia="仿宋"/>
          <w:sz w:val="32"/>
          <w:szCs w:val="32"/>
          <w:lang w:val="zh-CN"/>
        </w:rPr>
        <w:t>都江堰渠首水利工程地处都江堰城区，也是整个都江堰首部枢纽，承担着全灌区水量的调节配置，对全灌区的正常运行和效益发挥起着控制作用。为了确保都江堰灌区工、农业生产用水和渠首水利工程的安全运行，根据《四川省都江堰水利工程管理条例》设立此项目。渠首日常维修养护项目严格按照管理局建设管理办法规定上报项目预算及实施方案，并根据都局发【2019】153号 、都局发【2019】186号、都局发【20209】28号、都局发【2020】81号文等项目批复组织实施。本项目申报资金832万元，根据《四川省水利厅关于批复2020年直属预算单位部门预算的通知》（川水函[2020]778号）批复资金832万元。</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b/>
          <w:sz w:val="32"/>
          <w:szCs w:val="32"/>
          <w:lang w:val="zh-CN"/>
        </w:rPr>
        <w:t>（二）项目绩效目标。</w:t>
      </w:r>
      <w:r>
        <w:rPr>
          <w:rFonts w:hint="eastAsia" w:ascii="仿宋" w:hAnsi="仿宋" w:eastAsia="仿宋"/>
          <w:sz w:val="32"/>
          <w:szCs w:val="32"/>
          <w:lang w:val="zh-CN"/>
        </w:rPr>
        <w:t>项目主要建设内容包括：渠首水闸防洪维护、水闸岁修、闸前捞渣及环境整治、各闸点设施设备零星维修、治安消防及安全巡查、内江闸及外江闸群自动控制及视频监控系统维护、渠首水利工程绿化整治、渠首水利工程零星维修、渠首内外江河堤灌木杂草清理、水利工程检测、渠首渔场苗圃养护工程、防汛应急抢险、外江警示广播及视频监控系统维护、外江警示线警示碑喷制工作、渠首内外江青石栏杆及地板维修、渠首人字堤溢洪道小索桥维修、水电设施维护、金刚堤飞沙堰管理房屋面维修、防汛物资库房维修、林地环境整治、委托圣源公司管理景区、水闸备品备件等22个子项。本项目是对渠首水利工程进行日常维护，确保渠首水利工程安全运行及供水安全。预计完成</w:t>
      </w:r>
      <w:r>
        <w:rPr>
          <w:rFonts w:ascii="仿宋" w:hAnsi="仿宋" w:eastAsia="仿宋"/>
          <w:sz w:val="32"/>
          <w:szCs w:val="32"/>
          <w:lang w:val="zh-CN"/>
        </w:rPr>
        <w:t>闸室维修1座，</w:t>
      </w:r>
      <w:r>
        <w:rPr>
          <w:rFonts w:hint="eastAsia" w:ascii="仿宋" w:hAnsi="仿宋" w:eastAsia="仿宋"/>
          <w:sz w:val="32"/>
          <w:szCs w:val="32"/>
          <w:lang w:val="zh-CN"/>
        </w:rPr>
        <w:t>干渠镇底补烂328m</w:t>
      </w:r>
      <w:r>
        <w:rPr>
          <w:rFonts w:hint="eastAsia" w:ascii="仿宋" w:hAnsi="仿宋" w:eastAsia="仿宋"/>
          <w:sz w:val="32"/>
          <w:szCs w:val="32"/>
          <w:vertAlign w:val="superscript"/>
          <w:lang w:val="zh-CN"/>
        </w:rPr>
        <w:t>3</w:t>
      </w:r>
      <w:r>
        <w:rPr>
          <w:rFonts w:hint="eastAsia" w:ascii="仿宋" w:hAnsi="仿宋" w:eastAsia="仿宋"/>
          <w:sz w:val="32"/>
          <w:szCs w:val="32"/>
          <w:lang w:val="zh-CN"/>
        </w:rPr>
        <w:t>，管理房维修及凉亭维修6座，桥梁检测10座，警示碑喷制240个，灌木及杂草清理75300m</w:t>
      </w:r>
      <w:r>
        <w:rPr>
          <w:rFonts w:hint="eastAsia" w:ascii="仿宋" w:hAnsi="仿宋" w:eastAsia="仿宋"/>
          <w:sz w:val="32"/>
          <w:szCs w:val="32"/>
          <w:vertAlign w:val="superscript"/>
          <w:lang w:val="zh-CN"/>
        </w:rPr>
        <w:t>2</w:t>
      </w:r>
      <w:r>
        <w:rPr>
          <w:rFonts w:hint="eastAsia" w:ascii="仿宋" w:hAnsi="仿宋" w:eastAsia="仿宋"/>
          <w:sz w:val="32"/>
          <w:szCs w:val="32"/>
          <w:lang w:val="zh-CN"/>
        </w:rPr>
        <w:t>，更换栏杆250m，更换青石地板800个，整理绿化用地</w:t>
      </w:r>
      <w:r>
        <w:rPr>
          <w:rFonts w:ascii="仿宋" w:hAnsi="仿宋" w:eastAsia="仿宋"/>
          <w:sz w:val="32"/>
          <w:szCs w:val="32"/>
          <w:lang w:val="zh-CN"/>
        </w:rPr>
        <w:t>57393.36</w:t>
      </w:r>
      <w:r>
        <w:rPr>
          <w:rFonts w:hint="eastAsia" w:ascii="仿宋" w:hAnsi="仿宋" w:eastAsia="仿宋"/>
          <w:sz w:val="32"/>
          <w:szCs w:val="32"/>
          <w:lang w:val="zh-CN"/>
        </w:rPr>
        <w:t>m</w:t>
      </w:r>
      <w:r>
        <w:rPr>
          <w:rFonts w:hint="eastAsia" w:ascii="仿宋" w:hAnsi="仿宋" w:eastAsia="仿宋"/>
          <w:sz w:val="32"/>
          <w:szCs w:val="32"/>
          <w:vertAlign w:val="superscript"/>
          <w:lang w:val="zh-CN"/>
        </w:rPr>
        <w:t>2</w:t>
      </w:r>
      <w:r>
        <w:rPr>
          <w:rFonts w:hint="eastAsia" w:ascii="仿宋" w:hAnsi="仿宋" w:eastAsia="仿宋"/>
          <w:sz w:val="32"/>
          <w:szCs w:val="32"/>
          <w:lang w:val="zh-CN"/>
        </w:rPr>
        <w:t>，更换维修电缆线700m，零星闸点维修7座等。</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b/>
          <w:sz w:val="32"/>
          <w:szCs w:val="32"/>
          <w:lang w:val="zh-CN"/>
        </w:rPr>
        <w:t>（三）项目资金申报相符性。</w:t>
      </w:r>
      <w:r>
        <w:rPr>
          <w:rFonts w:hint="eastAsia" w:ascii="仿宋" w:hAnsi="仿宋" w:eastAsia="仿宋"/>
          <w:sz w:val="32"/>
          <w:szCs w:val="32"/>
          <w:lang w:val="zh-CN"/>
        </w:rPr>
        <w:t>本项目申报内容为22个子项，因2020年我局正处于事企改革过渡期，在实际实施过程中部分项目安排在都江堰水利产业集团公司开支，另外增加了渠首日常维修养护的部分子项进入本项目。</w:t>
      </w:r>
    </w:p>
    <w:p>
      <w:pPr>
        <w:adjustRightInd w:val="0"/>
        <w:snapToGrid w:val="0"/>
        <w:spacing w:line="600" w:lineRule="exact"/>
        <w:ind w:firstLine="720"/>
        <w:rPr>
          <w:rFonts w:ascii="仿宋" w:hAnsi="仿宋" w:eastAsia="仿宋"/>
          <w:b/>
          <w:bCs/>
          <w:sz w:val="32"/>
          <w:szCs w:val="32"/>
        </w:rPr>
      </w:pPr>
      <w:r>
        <w:rPr>
          <w:rFonts w:hint="eastAsia" w:ascii="仿宋" w:hAnsi="仿宋" w:eastAsia="仿宋"/>
          <w:b/>
          <w:bCs/>
          <w:sz w:val="32"/>
          <w:szCs w:val="32"/>
        </w:rPr>
        <w:t>二、项目实施及管理情况</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sz w:val="32"/>
          <w:szCs w:val="32"/>
          <w:lang w:val="zh-CN"/>
        </w:rPr>
        <w:tab/>
      </w:r>
      <w:r>
        <w:rPr>
          <w:rFonts w:hint="eastAsia" w:ascii="仿宋" w:hAnsi="仿宋" w:eastAsia="仿宋"/>
          <w:b/>
          <w:sz w:val="32"/>
          <w:szCs w:val="32"/>
          <w:lang w:val="zh-CN"/>
        </w:rPr>
        <w:t>（一）资金计划、到位及使用情况。</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sz w:val="32"/>
          <w:szCs w:val="32"/>
          <w:lang w:val="zh-CN"/>
        </w:rPr>
        <w:t>1．资金计划及到位。本项目资金及时到位，均按合同约定支付乙方工程费用。</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sz w:val="32"/>
          <w:szCs w:val="32"/>
          <w:lang w:val="zh-CN"/>
        </w:rPr>
        <w:t>2．资金使用。截止2020年12月31日，本项目资金实际支出623.41万元，主要用于支付水闸岁修、渠首人字堤溢洪道小索桥维修、水利工程检测、防汛应急抢险、委托圣源公司管理景区、水电设施维护等子项的支出。项目严格按照我局资金管理办法以及建设管理办法规定，按合同约定支付工程款项。</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（二）项目财务管理情况。</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sz w:val="32"/>
          <w:szCs w:val="32"/>
          <w:lang w:val="zh-CN"/>
        </w:rPr>
        <w:t>本项目严格执行财务管理制度以及《四川省都江堰管理局资金管理办法》，做好项目会计核算及账务处理等相关工作，及时支付项目进度款项。</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（三）项目组织实施情况。</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sz w:val="32"/>
          <w:szCs w:val="32"/>
          <w:lang w:val="zh-CN"/>
        </w:rPr>
        <w:t>本项目由渠首运行保中心负责实施，并根据项目的具体情况成立项目部，按照相关规定及建设规范开展工作，严格落实组织管理、合同管理、质量管理、进度管理、资金管理、确保项目的顺利开展及完成。</w:t>
      </w:r>
    </w:p>
    <w:p>
      <w:pPr>
        <w:adjustRightInd w:val="0"/>
        <w:snapToGrid w:val="0"/>
        <w:spacing w:line="600" w:lineRule="exact"/>
        <w:ind w:firstLine="720"/>
        <w:rPr>
          <w:rFonts w:ascii="仿宋" w:hAnsi="仿宋" w:eastAsia="仿宋"/>
          <w:b/>
          <w:bCs/>
          <w:sz w:val="32"/>
          <w:szCs w:val="32"/>
          <w:lang w:val="zh-CN"/>
        </w:rPr>
      </w:pPr>
      <w:r>
        <w:rPr>
          <w:rFonts w:hint="eastAsia" w:ascii="仿宋" w:hAnsi="仿宋" w:eastAsia="仿宋"/>
          <w:b/>
          <w:bCs/>
          <w:sz w:val="32"/>
          <w:szCs w:val="32"/>
        </w:rPr>
        <w:t>三、项目绩效情况</w:t>
      </w:r>
      <w:r>
        <w:rPr>
          <w:rFonts w:hint="eastAsia" w:ascii="仿宋" w:hAnsi="仿宋" w:eastAsia="仿宋"/>
          <w:b/>
          <w:bCs/>
          <w:sz w:val="32"/>
          <w:szCs w:val="32"/>
          <w:lang w:val="zh-CN"/>
        </w:rPr>
        <w:tab/>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（一）项目完成情况。</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sz w:val="32"/>
          <w:szCs w:val="32"/>
          <w:lang w:val="zh-CN"/>
        </w:rPr>
        <w:t>本项目实际完成</w:t>
      </w:r>
      <w:r>
        <w:rPr>
          <w:rFonts w:ascii="仿宋" w:hAnsi="仿宋" w:eastAsia="仿宋"/>
          <w:sz w:val="32"/>
          <w:szCs w:val="32"/>
          <w:lang w:val="zh-CN"/>
        </w:rPr>
        <w:t>闸室维修1座，</w:t>
      </w:r>
      <w:r>
        <w:rPr>
          <w:rFonts w:hint="eastAsia" w:ascii="仿宋" w:hAnsi="仿宋" w:eastAsia="仿宋"/>
          <w:sz w:val="32"/>
          <w:szCs w:val="32"/>
          <w:lang w:val="zh-CN"/>
        </w:rPr>
        <w:t>干渠镇底补烂477.44m</w:t>
      </w:r>
      <w:r>
        <w:rPr>
          <w:rFonts w:hint="eastAsia" w:ascii="仿宋" w:hAnsi="仿宋" w:eastAsia="仿宋"/>
          <w:sz w:val="32"/>
          <w:szCs w:val="32"/>
          <w:vertAlign w:val="superscript"/>
          <w:lang w:val="zh-CN"/>
        </w:rPr>
        <w:t>3</w:t>
      </w:r>
      <w:r>
        <w:rPr>
          <w:rFonts w:hint="eastAsia" w:ascii="仿宋" w:hAnsi="仿宋" w:eastAsia="仿宋"/>
          <w:sz w:val="32"/>
          <w:szCs w:val="32"/>
          <w:lang w:val="zh-CN"/>
        </w:rPr>
        <w:t>，组织防汛应急抢险4次（装载机91台时，吊车84台时，工人98工日），管理房维修及凉亭维修6座，桥梁检测10座，警示碑喷制220个，灌木及杂草清理69913.5m</w:t>
      </w:r>
      <w:r>
        <w:rPr>
          <w:rFonts w:hint="eastAsia" w:ascii="仿宋" w:hAnsi="仿宋" w:eastAsia="仿宋"/>
          <w:sz w:val="32"/>
          <w:szCs w:val="32"/>
          <w:vertAlign w:val="superscript"/>
          <w:lang w:val="zh-CN"/>
        </w:rPr>
        <w:t>2</w:t>
      </w:r>
      <w:r>
        <w:rPr>
          <w:rFonts w:hint="eastAsia" w:ascii="仿宋" w:hAnsi="仿宋" w:eastAsia="仿宋"/>
          <w:sz w:val="32"/>
          <w:szCs w:val="32"/>
          <w:lang w:val="zh-CN"/>
        </w:rPr>
        <w:t>，更换栏杆284.7m，更换青石地板822个 ，整理绿化用地61902.42m</w:t>
      </w:r>
      <w:r>
        <w:rPr>
          <w:rFonts w:hint="eastAsia" w:ascii="仿宋" w:hAnsi="仿宋" w:eastAsia="仿宋"/>
          <w:sz w:val="32"/>
          <w:szCs w:val="32"/>
          <w:vertAlign w:val="superscript"/>
          <w:lang w:val="zh-CN"/>
        </w:rPr>
        <w:t>2</w:t>
      </w:r>
      <w:r>
        <w:rPr>
          <w:rFonts w:hint="eastAsia" w:ascii="仿宋" w:hAnsi="仿宋" w:eastAsia="仿宋"/>
          <w:sz w:val="32"/>
          <w:szCs w:val="32"/>
          <w:lang w:val="zh-CN"/>
        </w:rPr>
        <w:t>，更换维修电缆线750m，零星闸点维修7座等。项目质量验收合格率100%，项目按期完成率100%，项目投资控制达标率100%。本项目预算资金832万元，2020年完成资金支付623.41万元。因渠首工程项目大多零星琐碎，且大部分项目只能在年底岁修时枯水期完成，截止2020年底22个子项工作施工内容虽然已全部完成，但部分项目不能及时在12月31日前完成决算审计等后续工作，导致项目资金不能在当年支付，剩余未支付资金208.56万元结转至2021年完成。</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（二）项目效益情况。</w:t>
      </w:r>
      <w:r>
        <w:rPr>
          <w:rFonts w:hint="eastAsia" w:ascii="仿宋" w:hAnsi="仿宋" w:eastAsia="仿宋"/>
          <w:sz w:val="32"/>
          <w:szCs w:val="32"/>
          <w:lang w:val="zh-CN"/>
        </w:rPr>
        <w:t>该项目的实施达到了预期目标，确保了都江堰渠首水利工程安全运行和供水安全，同时也保障了人民群众生命财产安全。</w:t>
      </w:r>
    </w:p>
    <w:p>
      <w:pPr>
        <w:adjustRightInd w:val="0"/>
        <w:snapToGrid w:val="0"/>
        <w:spacing w:line="600" w:lineRule="exact"/>
        <w:ind w:firstLine="720"/>
        <w:rPr>
          <w:rFonts w:ascii="仿宋" w:hAnsi="仿宋" w:eastAsia="仿宋"/>
          <w:b/>
          <w:bCs/>
          <w:sz w:val="32"/>
          <w:szCs w:val="32"/>
        </w:rPr>
      </w:pPr>
      <w:r>
        <w:rPr>
          <w:rFonts w:hint="eastAsia" w:ascii="仿宋" w:hAnsi="仿宋" w:eastAsia="仿宋"/>
          <w:b/>
          <w:bCs/>
          <w:sz w:val="32"/>
          <w:szCs w:val="32"/>
        </w:rPr>
        <w:t>四、问题及建议</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（一）存在的问题。</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sz w:val="32"/>
          <w:szCs w:val="32"/>
          <w:lang w:val="zh-CN"/>
        </w:rPr>
        <w:t>1、都江堰渠首水利工程地处都江堰城区和核心景区，周边环境复杂，且每年汛期上游来水具有不确定性，对年度所需的防汛应急抢险等维修资金无法准确估算。</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sz w:val="32"/>
          <w:szCs w:val="32"/>
          <w:lang w:val="zh-CN"/>
        </w:rPr>
        <w:t>2、都江堰渠首水利工程特殊性，在每年12月至来年3月属枯水期，在此期间将对水工设施及堤防、河道进行检查，有些需要维修整治的项目将无法及时的在每年年底前上报到来年的财政预算计划中。</w:t>
      </w:r>
    </w:p>
    <w:p>
      <w:pPr>
        <w:ind w:firstLine="643" w:firstLineChars="200"/>
        <w:rPr>
          <w:rFonts w:ascii="仿宋" w:hAnsi="仿宋" w:eastAsia="仿宋"/>
          <w:sz w:val="32"/>
          <w:szCs w:val="32"/>
          <w:lang w:val="zh-CN"/>
        </w:rPr>
      </w:pPr>
      <w:r>
        <w:rPr>
          <w:rFonts w:hint="eastAsia" w:ascii="仿宋" w:hAnsi="仿宋" w:eastAsia="仿宋"/>
          <w:b/>
          <w:sz w:val="32"/>
          <w:szCs w:val="32"/>
          <w:lang w:val="zh-CN"/>
        </w:rPr>
        <w:t>（二）相关建议。</w:t>
      </w:r>
      <w:r>
        <w:rPr>
          <w:rFonts w:hint="eastAsia" w:ascii="仿宋" w:hAnsi="仿宋" w:eastAsia="仿宋"/>
          <w:sz w:val="32"/>
          <w:szCs w:val="32"/>
          <w:lang w:val="zh-CN"/>
        </w:rPr>
        <w:t>由于都江堰渠首水利工程特殊性及每年汛期来水不确定性，为保证都江堰首水利工程安全运行，建议：一、能在当年部门预算中考虑列支一部分资金作为防汛抢险、应急维修备用金，该费用根据年度实施发生情况进行结算；二、项目调整（调增、调减）的工作能明确调整时间及调整结果，以便于管理。</w:t>
      </w:r>
    </w:p>
    <w:p>
      <w:pPr>
        <w:adjustRightInd w:val="0"/>
        <w:snapToGrid w:val="0"/>
        <w:spacing w:line="600" w:lineRule="exact"/>
        <w:ind w:firstLine="640" w:firstLineChars="200"/>
        <w:rPr>
          <w:rFonts w:ascii="仿宋" w:hAnsi="仿宋" w:eastAsia="仿宋" w:cs="仿宋_GB2312"/>
          <w:color w:val="FF0000"/>
          <w:sz w:val="32"/>
          <w:szCs w:val="32"/>
        </w:rPr>
      </w:pPr>
    </w:p>
    <w:p>
      <w:pPr>
        <w:adjustRightInd w:val="0"/>
        <w:snapToGrid w:val="0"/>
        <w:spacing w:line="360" w:lineRule="auto"/>
        <w:ind w:firstLine="480" w:firstLineChars="150"/>
        <w:rPr>
          <w:rFonts w:ascii="仿宋" w:hAnsi="仿宋" w:eastAsia="仿宋" w:cs="宋体"/>
          <w:sz w:val="32"/>
          <w:szCs w:val="32"/>
        </w:rPr>
      </w:pPr>
    </w:p>
    <w:p>
      <w:pPr>
        <w:spacing w:line="600" w:lineRule="exact"/>
        <w:jc w:val="center"/>
        <w:rPr>
          <w:rFonts w:hint="eastAsia" w:ascii="仿宋" w:hAnsi="仿宋" w:eastAsia="仿宋"/>
          <w:b/>
          <w:kern w:val="0"/>
          <w:sz w:val="32"/>
          <w:szCs w:val="32"/>
          <w:lang w:val="zh-CN"/>
        </w:rPr>
      </w:pPr>
      <w:r>
        <w:rPr>
          <w:rFonts w:hint="eastAsia" w:ascii="仿宋" w:hAnsi="仿宋" w:eastAsia="仿宋"/>
          <w:b/>
          <w:kern w:val="0"/>
          <w:sz w:val="32"/>
          <w:szCs w:val="32"/>
          <w:lang w:val="zh-CN"/>
        </w:rPr>
        <w:t>202</w:t>
      </w:r>
      <w:r>
        <w:rPr>
          <w:rFonts w:hint="eastAsia" w:ascii="仿宋" w:hAnsi="仿宋" w:eastAsia="仿宋"/>
          <w:b/>
          <w:kern w:val="0"/>
          <w:sz w:val="32"/>
          <w:szCs w:val="32"/>
        </w:rPr>
        <w:t>0</w:t>
      </w:r>
      <w:r>
        <w:rPr>
          <w:rFonts w:hint="eastAsia" w:ascii="仿宋" w:hAnsi="仿宋" w:eastAsia="仿宋"/>
          <w:b/>
          <w:kern w:val="0"/>
          <w:sz w:val="32"/>
          <w:szCs w:val="32"/>
          <w:lang w:val="zh-CN"/>
        </w:rPr>
        <w:t>年</w:t>
      </w:r>
      <w:r>
        <w:rPr>
          <w:rFonts w:hint="eastAsia" w:ascii="仿宋" w:hAnsi="仿宋" w:eastAsia="仿宋"/>
          <w:b/>
          <w:kern w:val="0"/>
          <w:sz w:val="32"/>
          <w:szCs w:val="32"/>
        </w:rPr>
        <w:t>脱贫帮扶</w:t>
      </w:r>
      <w:r>
        <w:rPr>
          <w:rFonts w:hint="eastAsia" w:ascii="仿宋" w:hAnsi="仿宋" w:eastAsia="仿宋"/>
          <w:b/>
          <w:kern w:val="0"/>
          <w:sz w:val="32"/>
          <w:szCs w:val="32"/>
          <w:lang w:val="zh-CN"/>
        </w:rPr>
        <w:t>项目项目支出</w:t>
      </w:r>
    </w:p>
    <w:p>
      <w:pPr>
        <w:spacing w:line="600" w:lineRule="exact"/>
        <w:jc w:val="center"/>
        <w:rPr>
          <w:rFonts w:ascii="仿宋" w:hAnsi="仿宋" w:eastAsia="仿宋"/>
          <w:b/>
          <w:kern w:val="0"/>
          <w:sz w:val="32"/>
          <w:szCs w:val="32"/>
          <w:lang w:val="zh-CN"/>
        </w:rPr>
      </w:pPr>
      <w:r>
        <w:rPr>
          <w:rFonts w:hint="eastAsia" w:ascii="仿宋" w:hAnsi="仿宋" w:eastAsia="仿宋"/>
          <w:b/>
          <w:kern w:val="0"/>
          <w:sz w:val="32"/>
          <w:szCs w:val="32"/>
          <w:lang w:val="zh-CN"/>
        </w:rPr>
        <w:t>绩效自评报告</w:t>
      </w:r>
    </w:p>
    <w:p>
      <w:pPr>
        <w:spacing w:line="600" w:lineRule="exact"/>
        <w:ind w:firstLine="640"/>
        <w:jc w:val="center"/>
        <w:rPr>
          <w:rFonts w:ascii="仿宋" w:hAnsi="仿宋" w:eastAsia="仿宋"/>
          <w:sz w:val="32"/>
          <w:szCs w:val="32"/>
          <w:lang w:val="zh-CN"/>
        </w:rPr>
      </w:pPr>
    </w:p>
    <w:p>
      <w:pPr>
        <w:adjustRightInd w:val="0"/>
        <w:snapToGrid w:val="0"/>
        <w:spacing w:line="600" w:lineRule="exact"/>
        <w:ind w:firstLine="720"/>
        <w:rPr>
          <w:rFonts w:ascii="仿宋" w:hAnsi="仿宋" w:eastAsia="仿宋"/>
          <w:b/>
          <w:bCs/>
          <w:sz w:val="32"/>
          <w:szCs w:val="32"/>
          <w:lang w:val="zh-CN"/>
        </w:rPr>
      </w:pPr>
      <w:r>
        <w:rPr>
          <w:rFonts w:hint="eastAsia" w:ascii="仿宋" w:hAnsi="仿宋" w:eastAsia="仿宋"/>
          <w:b/>
          <w:bCs/>
          <w:sz w:val="32"/>
          <w:szCs w:val="32"/>
        </w:rPr>
        <w:t>一、</w:t>
      </w:r>
      <w:r>
        <w:rPr>
          <w:rFonts w:hint="eastAsia" w:ascii="仿宋" w:hAnsi="仿宋" w:eastAsia="仿宋"/>
          <w:b/>
          <w:bCs/>
          <w:sz w:val="32"/>
          <w:szCs w:val="32"/>
          <w:lang w:val="zh-CN"/>
        </w:rPr>
        <w:t>项目概况</w:t>
      </w:r>
    </w:p>
    <w:p>
      <w:pPr>
        <w:adjustRightInd w:val="0"/>
        <w:snapToGrid w:val="0"/>
        <w:spacing w:line="600" w:lineRule="exact"/>
        <w:ind w:firstLine="720"/>
        <w:rPr>
          <w:rFonts w:ascii="仿宋" w:hAnsi="仿宋" w:eastAsia="仿宋"/>
          <w:sz w:val="32"/>
          <w:szCs w:val="32"/>
        </w:rPr>
      </w:pPr>
      <w:r>
        <w:rPr>
          <w:rFonts w:hint="eastAsia" w:ascii="仿宋" w:hAnsi="仿宋" w:eastAsia="仿宋"/>
          <w:b/>
          <w:sz w:val="32"/>
          <w:szCs w:val="32"/>
          <w:lang w:val="zh-CN"/>
        </w:rPr>
        <w:t>（一）项目资金申报及批复情况。</w:t>
      </w:r>
      <w:r>
        <w:rPr>
          <w:rFonts w:hint="eastAsia" w:ascii="仿宋" w:hAnsi="仿宋" w:eastAsia="仿宋"/>
          <w:sz w:val="32"/>
          <w:szCs w:val="32"/>
        </w:rPr>
        <w:t>2020年，我局报送脱贫帮扶项目预算帮扶资金</w:t>
      </w:r>
      <w:r>
        <w:rPr>
          <w:rFonts w:hint="eastAsia" w:ascii="仿宋" w:hAnsi="仿宋" w:eastAsia="仿宋"/>
          <w:sz w:val="32"/>
          <w:szCs w:val="32"/>
          <w:lang w:val="zh-CN"/>
        </w:rPr>
        <w:t>67</w:t>
      </w:r>
      <w:r>
        <w:rPr>
          <w:rFonts w:hint="eastAsia" w:ascii="仿宋" w:hAnsi="仿宋" w:eastAsia="仿宋"/>
          <w:sz w:val="32"/>
          <w:szCs w:val="32"/>
        </w:rPr>
        <w:t>6.2万元，实际资金批复676.2万元，</w:t>
      </w:r>
      <w:r>
        <w:rPr>
          <w:rFonts w:hint="eastAsia" w:ascii="仿宋" w:hAnsi="仿宋" w:eastAsia="仿宋"/>
          <w:sz w:val="32"/>
          <w:szCs w:val="32"/>
          <w:lang w:val="zh-CN"/>
        </w:rPr>
        <w:t>项目资金申报、批复符合资金管理办法等相关规定。</w:t>
      </w:r>
    </w:p>
    <w:p>
      <w:pPr>
        <w:adjustRightInd w:val="0"/>
        <w:snapToGrid w:val="0"/>
        <w:spacing w:line="600" w:lineRule="exact"/>
        <w:ind w:firstLine="643" w:firstLineChars="200"/>
        <w:rPr>
          <w:rFonts w:ascii="仿宋" w:hAnsi="仿宋" w:eastAsia="仿宋"/>
          <w:sz w:val="32"/>
          <w:szCs w:val="32"/>
          <w:lang w:val="zh-CN"/>
        </w:rPr>
      </w:pPr>
      <w:r>
        <w:rPr>
          <w:rFonts w:hint="eastAsia" w:ascii="仿宋" w:hAnsi="仿宋" w:eastAsia="仿宋"/>
          <w:b/>
          <w:sz w:val="32"/>
          <w:szCs w:val="32"/>
          <w:lang w:val="zh-CN"/>
        </w:rPr>
        <w:t>（二）项目绩效目标。</w:t>
      </w:r>
      <w:r>
        <w:rPr>
          <w:rFonts w:hint="eastAsia" w:ascii="仿宋" w:hAnsi="仿宋" w:eastAsia="仿宋"/>
          <w:sz w:val="32"/>
          <w:szCs w:val="32"/>
        </w:rPr>
        <w:t>认真贯彻落实省水利厅要求，严格落实脱贫攻坚政策，以摘帽销号为导向，以帮扶对象稳定脱贫为目标，明确脱贫攻坚正确方向，制定《</w:t>
      </w:r>
      <w:r>
        <w:rPr>
          <w:rFonts w:ascii="仿宋" w:hAnsi="仿宋" w:eastAsia="仿宋"/>
          <w:sz w:val="32"/>
          <w:szCs w:val="32"/>
        </w:rPr>
        <w:t>2020年脱贫攻坚帮扶项目使用资金计划》，帮助帮扶地完善基础设施建设，提升教育帮扶质量，提高产业帮扶水平</w:t>
      </w:r>
      <w:r>
        <w:rPr>
          <w:rFonts w:hint="eastAsia" w:ascii="仿宋" w:hAnsi="仿宋" w:eastAsia="仿宋"/>
          <w:sz w:val="32"/>
          <w:szCs w:val="32"/>
        </w:rPr>
        <w:t>，巩固脱贫成果。</w:t>
      </w:r>
    </w:p>
    <w:p>
      <w:pPr>
        <w:adjustRightInd w:val="0"/>
        <w:snapToGrid w:val="0"/>
        <w:spacing w:line="600" w:lineRule="exact"/>
        <w:ind w:firstLine="720"/>
        <w:rPr>
          <w:rFonts w:ascii="仿宋" w:hAnsi="仿宋" w:eastAsia="仿宋"/>
          <w:lang w:val="zh-CN"/>
        </w:rPr>
      </w:pPr>
      <w:r>
        <w:rPr>
          <w:rFonts w:hint="eastAsia" w:ascii="仿宋" w:hAnsi="仿宋" w:eastAsia="仿宋"/>
          <w:b/>
          <w:sz w:val="32"/>
          <w:szCs w:val="32"/>
          <w:lang w:val="zh-CN"/>
        </w:rPr>
        <w:t>（三）项目资金申报相符性。</w:t>
      </w:r>
      <w:r>
        <w:rPr>
          <w:rFonts w:hint="eastAsia" w:ascii="仿宋" w:hAnsi="仿宋" w:eastAsia="仿宋"/>
          <w:sz w:val="32"/>
          <w:szCs w:val="32"/>
        </w:rPr>
        <w:t>脱贫帮扶项目资金全部用于</w:t>
      </w:r>
      <w:r>
        <w:rPr>
          <w:rFonts w:ascii="仿宋" w:hAnsi="仿宋" w:eastAsia="仿宋"/>
          <w:sz w:val="32"/>
          <w:szCs w:val="32"/>
        </w:rPr>
        <w:t>开展基础设施建设帮扶、产业帮扶、教育帮扶</w:t>
      </w:r>
      <w:r>
        <w:rPr>
          <w:rFonts w:hint="eastAsia" w:ascii="仿宋" w:hAnsi="仿宋" w:eastAsia="仿宋"/>
          <w:sz w:val="32"/>
          <w:szCs w:val="32"/>
        </w:rPr>
        <w:t>、</w:t>
      </w:r>
      <w:r>
        <w:rPr>
          <w:rFonts w:ascii="仿宋" w:hAnsi="仿宋" w:eastAsia="仿宋"/>
          <w:sz w:val="32"/>
          <w:szCs w:val="32"/>
        </w:rPr>
        <w:t>爱心帮扶</w:t>
      </w:r>
      <w:r>
        <w:rPr>
          <w:rFonts w:hint="eastAsia" w:ascii="仿宋" w:hAnsi="仿宋" w:eastAsia="仿宋"/>
          <w:sz w:val="32"/>
          <w:szCs w:val="32"/>
        </w:rPr>
        <w:t>和水利厅统筹资金帮扶等，与项目资金申报一致，申报目标符合单位脱贫攻坚帮扶要求，</w:t>
      </w:r>
      <w:r>
        <w:rPr>
          <w:rFonts w:ascii="仿宋" w:hAnsi="仿宋" w:eastAsia="仿宋"/>
          <w:sz w:val="32"/>
          <w:szCs w:val="32"/>
        </w:rPr>
        <w:t>为帮扶地</w:t>
      </w:r>
      <w:r>
        <w:rPr>
          <w:rFonts w:hint="eastAsia" w:ascii="仿宋" w:hAnsi="仿宋" w:eastAsia="仿宋"/>
          <w:sz w:val="32"/>
          <w:szCs w:val="32"/>
        </w:rPr>
        <w:t>巩固脱贫成果</w:t>
      </w:r>
      <w:r>
        <w:rPr>
          <w:rFonts w:ascii="仿宋" w:hAnsi="仿宋" w:eastAsia="仿宋"/>
          <w:sz w:val="32"/>
          <w:szCs w:val="32"/>
        </w:rPr>
        <w:t>打赢脱攻坚战贫夯实了基础</w:t>
      </w:r>
      <w:r>
        <w:rPr>
          <w:rFonts w:hint="eastAsia" w:ascii="仿宋" w:hAnsi="仿宋" w:eastAsia="仿宋"/>
          <w:sz w:val="32"/>
          <w:szCs w:val="32"/>
        </w:rPr>
        <w:t>，圆满完成脱贫攻坚任务。</w:t>
      </w:r>
    </w:p>
    <w:p>
      <w:pPr>
        <w:adjustRightInd w:val="0"/>
        <w:snapToGrid w:val="0"/>
        <w:spacing w:line="600" w:lineRule="exact"/>
        <w:ind w:firstLine="720"/>
        <w:rPr>
          <w:rFonts w:ascii="仿宋" w:hAnsi="仿宋" w:eastAsia="仿宋"/>
          <w:b/>
          <w:bCs/>
          <w:sz w:val="32"/>
          <w:szCs w:val="32"/>
        </w:rPr>
      </w:pPr>
      <w:r>
        <w:rPr>
          <w:rFonts w:hint="eastAsia" w:ascii="仿宋" w:hAnsi="仿宋" w:eastAsia="仿宋"/>
          <w:b/>
          <w:bCs/>
          <w:sz w:val="32"/>
          <w:szCs w:val="32"/>
        </w:rPr>
        <w:t>二、项目实施及管理情况</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sz w:val="32"/>
          <w:szCs w:val="32"/>
          <w:lang w:val="zh-CN"/>
        </w:rPr>
        <w:tab/>
      </w:r>
      <w:r>
        <w:rPr>
          <w:rFonts w:hint="eastAsia" w:ascii="仿宋" w:hAnsi="仿宋" w:eastAsia="仿宋"/>
          <w:b/>
          <w:sz w:val="32"/>
          <w:szCs w:val="32"/>
          <w:lang w:val="zh-CN"/>
        </w:rPr>
        <w:t>（一）资金计划、到位及使用情况。</w:t>
      </w:r>
    </w:p>
    <w:p>
      <w:pPr>
        <w:adjustRightInd w:val="0"/>
        <w:snapToGrid w:val="0"/>
        <w:spacing w:line="600" w:lineRule="exact"/>
        <w:ind w:firstLine="720"/>
        <w:rPr>
          <w:rFonts w:ascii="仿宋" w:hAnsi="仿宋" w:eastAsia="仿宋"/>
          <w:sz w:val="32"/>
          <w:szCs w:val="32"/>
        </w:rPr>
      </w:pPr>
      <w:r>
        <w:rPr>
          <w:rFonts w:hint="eastAsia" w:ascii="仿宋" w:hAnsi="仿宋" w:eastAsia="仿宋"/>
          <w:sz w:val="32"/>
          <w:szCs w:val="32"/>
          <w:lang w:val="zh-CN"/>
        </w:rPr>
        <w:t>1</w:t>
      </w:r>
      <w:r>
        <w:rPr>
          <w:rFonts w:hint="eastAsia" w:ascii="仿宋" w:hAnsi="仿宋" w:eastAsia="仿宋"/>
          <w:sz w:val="32"/>
          <w:szCs w:val="32"/>
        </w:rPr>
        <w:t>.</w:t>
      </w:r>
      <w:r>
        <w:rPr>
          <w:rFonts w:hint="eastAsia" w:ascii="仿宋" w:hAnsi="仿宋" w:eastAsia="仿宋"/>
          <w:sz w:val="32"/>
          <w:szCs w:val="32"/>
          <w:lang w:val="zh-CN"/>
        </w:rPr>
        <w:t>资金计划及到位。</w:t>
      </w:r>
      <w:r>
        <w:rPr>
          <w:rFonts w:hint="eastAsia" w:ascii="仿宋" w:hAnsi="仿宋" w:eastAsia="仿宋"/>
          <w:sz w:val="32"/>
          <w:szCs w:val="32"/>
        </w:rPr>
        <w:t>2020年，我局报送项目预算帮扶资金</w:t>
      </w:r>
      <w:r>
        <w:rPr>
          <w:rFonts w:hint="eastAsia" w:ascii="仿宋" w:hAnsi="仿宋" w:eastAsia="仿宋"/>
          <w:sz w:val="32"/>
          <w:szCs w:val="32"/>
          <w:lang w:val="zh-CN"/>
        </w:rPr>
        <w:t>67</w:t>
      </w:r>
      <w:r>
        <w:rPr>
          <w:rFonts w:hint="eastAsia" w:ascii="仿宋" w:hAnsi="仿宋" w:eastAsia="仿宋"/>
          <w:sz w:val="32"/>
          <w:szCs w:val="32"/>
        </w:rPr>
        <w:t>6.2万元，实际到位676.2万元，最终使用579.728</w:t>
      </w:r>
      <w:r>
        <w:rPr>
          <w:rFonts w:ascii="仿宋" w:hAnsi="仿宋" w:eastAsia="仿宋"/>
          <w:sz w:val="32"/>
          <w:szCs w:val="32"/>
        </w:rPr>
        <w:t>万元</w:t>
      </w:r>
      <w:r>
        <w:rPr>
          <w:rFonts w:hint="eastAsia" w:ascii="仿宋" w:hAnsi="仿宋" w:eastAsia="仿宋"/>
          <w:sz w:val="32"/>
          <w:szCs w:val="32"/>
        </w:rPr>
        <w:t>，帮扶资金属于非财政拨款，全部是</w:t>
      </w:r>
      <w:r>
        <w:rPr>
          <w:rFonts w:hint="eastAsia" w:ascii="仿宋" w:hAnsi="仿宋" w:eastAsia="仿宋"/>
          <w:sz w:val="32"/>
          <w:szCs w:val="32"/>
          <w:lang w:val="zh-CN"/>
        </w:rPr>
        <w:t>单位自筹资金及其他渠道资金</w:t>
      </w:r>
      <w:r>
        <w:rPr>
          <w:rFonts w:hint="eastAsia" w:ascii="仿宋" w:hAnsi="仿宋" w:eastAsia="仿宋"/>
          <w:sz w:val="32"/>
          <w:szCs w:val="32"/>
        </w:rPr>
        <w:t>。</w:t>
      </w:r>
    </w:p>
    <w:p>
      <w:pPr>
        <w:tabs>
          <w:tab w:val="left" w:pos="3885"/>
        </w:tabs>
        <w:snapToGrid w:val="0"/>
        <w:spacing w:line="600" w:lineRule="exact"/>
        <w:ind w:firstLine="640" w:firstLineChars="200"/>
        <w:jc w:val="left"/>
        <w:rPr>
          <w:rFonts w:ascii="仿宋" w:hAnsi="仿宋" w:eastAsia="仿宋"/>
          <w:sz w:val="32"/>
          <w:szCs w:val="32"/>
        </w:rPr>
      </w:pPr>
      <w:r>
        <w:rPr>
          <w:rFonts w:hint="eastAsia" w:ascii="仿宋" w:hAnsi="仿宋" w:eastAsia="仿宋"/>
          <w:sz w:val="32"/>
          <w:szCs w:val="32"/>
          <w:lang w:val="zh-CN"/>
        </w:rPr>
        <w:t>2</w:t>
      </w:r>
      <w:r>
        <w:rPr>
          <w:rFonts w:hint="eastAsia" w:ascii="仿宋" w:hAnsi="仿宋" w:eastAsia="仿宋"/>
          <w:sz w:val="32"/>
          <w:szCs w:val="32"/>
        </w:rPr>
        <w:t>.</w:t>
      </w:r>
      <w:r>
        <w:rPr>
          <w:rFonts w:hint="eastAsia" w:ascii="仿宋" w:hAnsi="仿宋" w:eastAsia="仿宋"/>
          <w:sz w:val="32"/>
          <w:szCs w:val="32"/>
          <w:lang w:val="zh-CN"/>
        </w:rPr>
        <w:t>资金使用。</w:t>
      </w:r>
      <w:r>
        <w:rPr>
          <w:rFonts w:hint="eastAsia" w:ascii="仿宋" w:hAnsi="仿宋" w:eastAsia="仿宋"/>
          <w:sz w:val="32"/>
          <w:szCs w:val="32"/>
        </w:rPr>
        <w:t>2020年</w:t>
      </w:r>
      <w:r>
        <w:rPr>
          <w:rFonts w:ascii="仿宋" w:hAnsi="仿宋" w:eastAsia="仿宋"/>
          <w:sz w:val="32"/>
          <w:szCs w:val="32"/>
        </w:rPr>
        <w:t>，</w:t>
      </w:r>
      <w:r>
        <w:rPr>
          <w:rFonts w:hint="eastAsia" w:ascii="仿宋" w:hAnsi="仿宋" w:eastAsia="仿宋"/>
          <w:sz w:val="32"/>
          <w:szCs w:val="32"/>
        </w:rPr>
        <w:t>按照水利厅关于脱贫攻坚工作有关部署，</w:t>
      </w:r>
      <w:r>
        <w:rPr>
          <w:rFonts w:ascii="仿宋" w:hAnsi="仿宋" w:eastAsia="仿宋"/>
          <w:sz w:val="32"/>
          <w:szCs w:val="32"/>
        </w:rPr>
        <w:t>我局共</w:t>
      </w:r>
      <w:r>
        <w:rPr>
          <w:rFonts w:hint="eastAsia" w:ascii="仿宋" w:hAnsi="仿宋" w:eastAsia="仿宋"/>
          <w:sz w:val="32"/>
          <w:szCs w:val="32"/>
        </w:rPr>
        <w:t>捐资579.728</w:t>
      </w:r>
      <w:r>
        <w:rPr>
          <w:rFonts w:ascii="仿宋" w:hAnsi="仿宋" w:eastAsia="仿宋"/>
          <w:sz w:val="32"/>
          <w:szCs w:val="32"/>
        </w:rPr>
        <w:t>万元，开展基础设施建设帮扶、产业帮扶、教育帮扶</w:t>
      </w:r>
      <w:r>
        <w:rPr>
          <w:rFonts w:hint="eastAsia" w:ascii="仿宋" w:hAnsi="仿宋" w:eastAsia="仿宋"/>
          <w:sz w:val="32"/>
          <w:szCs w:val="32"/>
        </w:rPr>
        <w:t>、</w:t>
      </w:r>
      <w:r>
        <w:rPr>
          <w:rFonts w:ascii="仿宋" w:hAnsi="仿宋" w:eastAsia="仿宋"/>
          <w:sz w:val="32"/>
          <w:szCs w:val="32"/>
        </w:rPr>
        <w:t>爱心帮扶</w:t>
      </w:r>
      <w:r>
        <w:rPr>
          <w:rFonts w:hint="eastAsia" w:ascii="仿宋" w:hAnsi="仿宋" w:eastAsia="仿宋"/>
          <w:sz w:val="32"/>
          <w:szCs w:val="32"/>
        </w:rPr>
        <w:t>和水利厅统筹资金帮扶</w:t>
      </w:r>
      <w:r>
        <w:rPr>
          <w:rFonts w:ascii="仿宋" w:hAnsi="仿宋" w:eastAsia="仿宋"/>
          <w:sz w:val="32"/>
          <w:szCs w:val="32"/>
        </w:rPr>
        <w:t>等</w:t>
      </w:r>
      <w:r>
        <w:rPr>
          <w:rFonts w:hint="eastAsia" w:ascii="仿宋" w:hAnsi="仿宋" w:eastAsia="仿宋"/>
          <w:sz w:val="32"/>
          <w:szCs w:val="32"/>
        </w:rPr>
        <w:t>22</w:t>
      </w:r>
      <w:r>
        <w:rPr>
          <w:rFonts w:ascii="仿宋" w:hAnsi="仿宋" w:eastAsia="仿宋"/>
          <w:sz w:val="32"/>
          <w:szCs w:val="32"/>
        </w:rPr>
        <w:t>个帮扶项目，</w:t>
      </w:r>
      <w:r>
        <w:rPr>
          <w:rFonts w:hint="eastAsia" w:ascii="仿宋" w:hAnsi="仿宋" w:eastAsia="仿宋"/>
          <w:sz w:val="32"/>
          <w:szCs w:val="32"/>
        </w:rPr>
        <w:t>其中，甘孜州德格县开展帮扶项目20个，凉山州美姑县开展帮扶项目2个，</w:t>
      </w:r>
      <w:r>
        <w:rPr>
          <w:rFonts w:ascii="仿宋" w:hAnsi="仿宋" w:eastAsia="仿宋"/>
          <w:sz w:val="32"/>
          <w:szCs w:val="32"/>
        </w:rPr>
        <w:t>为帮扶地</w:t>
      </w:r>
      <w:r>
        <w:rPr>
          <w:rFonts w:hint="eastAsia" w:ascii="仿宋" w:hAnsi="仿宋" w:eastAsia="仿宋"/>
          <w:sz w:val="32"/>
          <w:szCs w:val="32"/>
        </w:rPr>
        <w:t>巩固脱贫成果</w:t>
      </w:r>
      <w:r>
        <w:rPr>
          <w:rFonts w:ascii="仿宋" w:hAnsi="仿宋" w:eastAsia="仿宋"/>
          <w:sz w:val="32"/>
          <w:szCs w:val="32"/>
        </w:rPr>
        <w:t>打赢脱攻坚战贫夯实了基础。</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（二）项目财务管理情况。</w:t>
      </w:r>
    </w:p>
    <w:p>
      <w:pPr>
        <w:adjustRightInd w:val="0"/>
        <w:snapToGrid w:val="0"/>
        <w:spacing w:line="600" w:lineRule="exact"/>
        <w:ind w:firstLine="720"/>
        <w:rPr>
          <w:rFonts w:ascii="仿宋" w:hAnsi="仿宋" w:eastAsia="仿宋"/>
          <w:sz w:val="32"/>
          <w:szCs w:val="32"/>
        </w:rPr>
      </w:pPr>
      <w:r>
        <w:rPr>
          <w:rFonts w:hint="eastAsia" w:ascii="仿宋" w:hAnsi="仿宋" w:eastAsia="仿宋"/>
          <w:sz w:val="32"/>
          <w:szCs w:val="32"/>
        </w:rPr>
        <w:t>扶贫资金拨付严格按照水利厅、管理局及帮扶地的</w:t>
      </w:r>
      <w:r>
        <w:rPr>
          <w:rFonts w:hint="eastAsia" w:ascii="仿宋" w:hAnsi="仿宋" w:eastAsia="仿宋"/>
          <w:sz w:val="32"/>
          <w:szCs w:val="32"/>
          <w:lang w:val="zh-CN"/>
        </w:rPr>
        <w:t>项目财务管理制度建设、机构设置、会计核算及账务处理等相关</w:t>
      </w:r>
      <w:r>
        <w:rPr>
          <w:rFonts w:hint="eastAsia" w:ascii="仿宋" w:hAnsi="仿宋" w:eastAsia="仿宋"/>
          <w:sz w:val="32"/>
          <w:szCs w:val="32"/>
        </w:rPr>
        <w:t>制度规定执行。一是每个脱贫帮扶项目通过帮扶村召开一事一议会议，由全村村民代表参加项目建设的会议，并实行公告公示制度，将项目信息和补助对象名单及每个项目的一事一议会议纪要等在村级党群活动中心进行公告、公示，增加透明度，确保村民的知情权，接受社会和群众监督。二是精准落实助学金发放，对于助学金补助对象信息通过全村核实，做到对象精准、信息准确，发放及时，没有错发、漏发等现象。三是按照水利厅统筹帮扶资金要求通知，按照资金拨付流程及时落实厅统筹帮扶资金。</w:t>
      </w:r>
    </w:p>
    <w:p>
      <w:pPr>
        <w:adjustRightInd w:val="0"/>
        <w:snapToGrid w:val="0"/>
        <w:spacing w:line="600" w:lineRule="exact"/>
        <w:ind w:firstLine="643" w:firstLineChars="200"/>
        <w:rPr>
          <w:rFonts w:ascii="仿宋" w:hAnsi="仿宋" w:eastAsia="仿宋"/>
          <w:b/>
          <w:sz w:val="32"/>
          <w:szCs w:val="32"/>
          <w:lang w:val="zh-CN"/>
        </w:rPr>
      </w:pPr>
      <w:r>
        <w:rPr>
          <w:rFonts w:hint="eastAsia" w:ascii="仿宋" w:hAnsi="仿宋" w:eastAsia="仿宋"/>
          <w:b/>
          <w:sz w:val="32"/>
          <w:szCs w:val="32"/>
          <w:lang w:val="zh-CN"/>
        </w:rPr>
        <w:t>（三）项目组织实施情况。</w:t>
      </w:r>
    </w:p>
    <w:p>
      <w:pPr>
        <w:adjustRightInd w:val="0"/>
        <w:snapToGrid w:val="0"/>
        <w:spacing w:line="600" w:lineRule="exact"/>
        <w:ind w:firstLine="720"/>
        <w:rPr>
          <w:rFonts w:ascii="仿宋" w:hAnsi="仿宋" w:eastAsia="仿宋"/>
          <w:lang w:val="zh-CN"/>
        </w:rPr>
      </w:pPr>
      <w:r>
        <w:rPr>
          <w:rFonts w:hint="eastAsia" w:ascii="仿宋" w:hAnsi="仿宋" w:eastAsia="仿宋"/>
          <w:sz w:val="32"/>
          <w:szCs w:val="32"/>
        </w:rPr>
        <w:t>帮扶项目通过扶贫干部长期</w:t>
      </w:r>
      <w:r>
        <w:rPr>
          <w:rFonts w:hint="eastAsia" w:ascii="仿宋" w:hAnsi="仿宋" w:eastAsia="仿宋"/>
          <w:sz w:val="32"/>
          <w:szCs w:val="32"/>
          <w:lang w:val="zh-CN"/>
        </w:rPr>
        <w:t>深入</w:t>
      </w:r>
      <w:r>
        <w:rPr>
          <w:rFonts w:hint="eastAsia" w:ascii="仿宋" w:hAnsi="仿宋" w:eastAsia="仿宋"/>
          <w:sz w:val="32"/>
          <w:szCs w:val="32"/>
        </w:rPr>
        <w:t>村、组</w:t>
      </w:r>
      <w:r>
        <w:rPr>
          <w:rFonts w:hint="eastAsia" w:ascii="仿宋" w:hAnsi="仿宋" w:eastAsia="仿宋"/>
          <w:sz w:val="32"/>
          <w:szCs w:val="32"/>
          <w:lang w:val="zh-CN"/>
        </w:rPr>
        <w:t>走访，了解</w:t>
      </w:r>
      <w:r>
        <w:rPr>
          <w:rFonts w:hint="eastAsia" w:ascii="仿宋" w:hAnsi="仿宋" w:eastAsia="仿宋"/>
          <w:sz w:val="32"/>
          <w:szCs w:val="32"/>
        </w:rPr>
        <w:t>村民</w:t>
      </w:r>
      <w:r>
        <w:rPr>
          <w:rFonts w:hint="eastAsia" w:ascii="仿宋" w:hAnsi="仿宋" w:eastAsia="仿宋"/>
          <w:sz w:val="32"/>
          <w:szCs w:val="32"/>
          <w:lang w:val="zh-CN"/>
        </w:rPr>
        <w:t>生产生活情况，</w:t>
      </w:r>
      <w:r>
        <w:rPr>
          <w:rFonts w:hint="eastAsia" w:ascii="仿宋" w:hAnsi="仿宋" w:eastAsia="仿宋"/>
          <w:sz w:val="32"/>
          <w:szCs w:val="32"/>
        </w:rPr>
        <w:t>充分</w:t>
      </w:r>
      <w:r>
        <w:rPr>
          <w:rFonts w:hint="eastAsia" w:ascii="仿宋" w:hAnsi="仿宋" w:eastAsia="仿宋"/>
          <w:sz w:val="32"/>
          <w:szCs w:val="32"/>
          <w:lang w:val="zh-CN"/>
        </w:rPr>
        <w:t>掌握村民意愿</w:t>
      </w:r>
      <w:r>
        <w:rPr>
          <w:rFonts w:hint="eastAsia" w:ascii="仿宋" w:hAnsi="仿宋" w:eastAsia="仿宋"/>
          <w:sz w:val="32"/>
          <w:szCs w:val="32"/>
        </w:rPr>
        <w:t>，积极</w:t>
      </w:r>
      <w:r>
        <w:rPr>
          <w:rFonts w:hint="eastAsia" w:ascii="仿宋" w:hAnsi="仿宋" w:eastAsia="仿宋"/>
          <w:sz w:val="32"/>
          <w:szCs w:val="32"/>
          <w:lang w:val="zh-CN"/>
        </w:rPr>
        <w:t>征求</w:t>
      </w:r>
      <w:r>
        <w:rPr>
          <w:rFonts w:hint="eastAsia" w:ascii="仿宋" w:hAnsi="仿宋" w:eastAsia="仿宋"/>
          <w:sz w:val="32"/>
          <w:szCs w:val="32"/>
        </w:rPr>
        <w:t>县、镇（</w:t>
      </w:r>
      <w:r>
        <w:rPr>
          <w:rFonts w:hint="eastAsia" w:ascii="仿宋" w:hAnsi="仿宋" w:eastAsia="仿宋"/>
          <w:sz w:val="32"/>
          <w:szCs w:val="32"/>
          <w:lang w:val="zh-CN"/>
        </w:rPr>
        <w:t>乡</w:t>
      </w:r>
      <w:r>
        <w:rPr>
          <w:rFonts w:hint="eastAsia" w:ascii="仿宋" w:hAnsi="仿宋" w:eastAsia="仿宋"/>
          <w:sz w:val="32"/>
          <w:szCs w:val="32"/>
        </w:rPr>
        <w:t>）</w:t>
      </w:r>
      <w:r>
        <w:rPr>
          <w:rFonts w:hint="eastAsia" w:ascii="仿宋" w:hAnsi="仿宋" w:eastAsia="仿宋"/>
          <w:sz w:val="32"/>
          <w:szCs w:val="32"/>
          <w:lang w:val="zh-CN"/>
        </w:rPr>
        <w:t>各级领导</w:t>
      </w:r>
      <w:r>
        <w:rPr>
          <w:rFonts w:hint="eastAsia" w:ascii="仿宋" w:hAnsi="仿宋" w:eastAsia="仿宋"/>
          <w:sz w:val="32"/>
          <w:szCs w:val="32"/>
        </w:rPr>
        <w:t>及帮扶单位</w:t>
      </w:r>
      <w:r>
        <w:rPr>
          <w:rFonts w:hint="eastAsia" w:ascii="仿宋" w:hAnsi="仿宋" w:eastAsia="仿宋"/>
          <w:sz w:val="32"/>
          <w:szCs w:val="32"/>
          <w:lang w:val="zh-CN"/>
        </w:rPr>
        <w:t>的意见</w:t>
      </w:r>
      <w:r>
        <w:rPr>
          <w:rFonts w:hint="eastAsia" w:ascii="仿宋" w:hAnsi="仿宋" w:eastAsia="仿宋"/>
          <w:sz w:val="32"/>
          <w:szCs w:val="32"/>
        </w:rPr>
        <w:t>与</w:t>
      </w:r>
      <w:r>
        <w:rPr>
          <w:rFonts w:hint="eastAsia" w:ascii="仿宋" w:hAnsi="仿宋" w:eastAsia="仿宋"/>
          <w:sz w:val="32"/>
          <w:szCs w:val="32"/>
          <w:lang w:val="zh-CN"/>
        </w:rPr>
        <w:t>建议</w:t>
      </w:r>
      <w:r>
        <w:rPr>
          <w:rFonts w:hint="eastAsia" w:ascii="仿宋" w:hAnsi="仿宋" w:eastAsia="仿宋"/>
          <w:sz w:val="32"/>
          <w:szCs w:val="32"/>
        </w:rPr>
        <w:t>后</w:t>
      </w:r>
      <w:r>
        <w:rPr>
          <w:rFonts w:hint="eastAsia" w:ascii="仿宋" w:hAnsi="仿宋" w:eastAsia="仿宋"/>
          <w:sz w:val="32"/>
          <w:szCs w:val="32"/>
          <w:lang w:val="zh-CN"/>
        </w:rPr>
        <w:t>，</w:t>
      </w:r>
      <w:r>
        <w:rPr>
          <w:rFonts w:hint="eastAsia" w:ascii="仿宋" w:hAnsi="仿宋" w:eastAsia="仿宋"/>
          <w:sz w:val="32"/>
          <w:szCs w:val="32"/>
        </w:rPr>
        <w:t>首先由帮扶地镇政府正式来函请求初步帮扶计划。其次，局脱贫办根据各帮扶地初步帮扶计划制定当年帮扶计划，并提交局党委会或局长办公会研究确定。最后，管理局将拟定好的帮扶计划报送水利厅备案。帮扶项目均通过全村召开“一事一议”会议，由村民代表参加项目建设会议，并实行公告公示制度后，由镇（</w:t>
      </w:r>
      <w:r>
        <w:rPr>
          <w:rFonts w:hint="eastAsia" w:ascii="仿宋" w:hAnsi="仿宋" w:eastAsia="仿宋"/>
          <w:sz w:val="32"/>
          <w:szCs w:val="32"/>
          <w:lang w:val="zh-CN"/>
        </w:rPr>
        <w:t>乡</w:t>
      </w:r>
      <w:r>
        <w:rPr>
          <w:rFonts w:hint="eastAsia" w:ascii="仿宋" w:hAnsi="仿宋" w:eastAsia="仿宋"/>
          <w:sz w:val="32"/>
          <w:szCs w:val="32"/>
        </w:rPr>
        <w:t>）政府组织施工队伍，村民监督配合进行项目的实施。</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b/>
          <w:bCs/>
          <w:sz w:val="32"/>
          <w:szCs w:val="32"/>
        </w:rPr>
        <w:t>三、项目绩效情况</w:t>
      </w:r>
      <w:r>
        <w:rPr>
          <w:rFonts w:hint="eastAsia" w:ascii="仿宋" w:hAnsi="仿宋" w:eastAsia="仿宋"/>
          <w:sz w:val="32"/>
          <w:szCs w:val="32"/>
          <w:lang w:val="zh-CN"/>
        </w:rPr>
        <w:tab/>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（一）项目完成情况。</w:t>
      </w:r>
    </w:p>
    <w:p>
      <w:pPr>
        <w:widowControl/>
        <w:tabs>
          <w:tab w:val="left" w:pos="312"/>
        </w:tabs>
        <w:spacing w:line="560" w:lineRule="exact"/>
        <w:ind w:firstLine="640" w:firstLineChars="200"/>
        <w:jc w:val="left"/>
        <w:rPr>
          <w:rFonts w:ascii="仿宋" w:hAnsi="仿宋" w:eastAsia="仿宋"/>
          <w:b/>
          <w:sz w:val="32"/>
          <w:szCs w:val="32"/>
          <w:lang w:val="zh-CN"/>
        </w:rPr>
      </w:pPr>
      <w:r>
        <w:rPr>
          <w:rFonts w:hint="eastAsia" w:ascii="仿宋" w:hAnsi="仿宋" w:eastAsia="仿宋" w:cs="仿宋_GB2312"/>
          <w:color w:val="000000"/>
          <w:sz w:val="32"/>
          <w:szCs w:val="32"/>
        </w:rPr>
        <w:t>2020年，实际投入579.73</w:t>
      </w:r>
      <w:r>
        <w:rPr>
          <w:rFonts w:ascii="仿宋" w:hAnsi="仿宋" w:eastAsia="仿宋" w:cs="仿宋_GB2312"/>
          <w:color w:val="000000"/>
          <w:sz w:val="32"/>
          <w:szCs w:val="32"/>
        </w:rPr>
        <w:t>万</w:t>
      </w:r>
      <w:r>
        <w:rPr>
          <w:rFonts w:hint="eastAsia" w:ascii="仿宋" w:hAnsi="仿宋" w:eastAsia="仿宋" w:cs="仿宋_GB2312"/>
          <w:color w:val="000000"/>
          <w:sz w:val="32"/>
          <w:szCs w:val="32"/>
        </w:rPr>
        <w:t>元，</w:t>
      </w:r>
      <w:r>
        <w:rPr>
          <w:rFonts w:ascii="仿宋" w:hAnsi="仿宋" w:eastAsia="仿宋" w:cs="仿宋_GB2312"/>
          <w:color w:val="000000"/>
          <w:sz w:val="32"/>
          <w:szCs w:val="32"/>
        </w:rPr>
        <w:t>开展基础设施建设帮扶、产业帮扶、教育帮扶</w:t>
      </w:r>
      <w:r>
        <w:rPr>
          <w:rFonts w:hint="eastAsia" w:ascii="仿宋" w:hAnsi="仿宋" w:eastAsia="仿宋" w:cs="仿宋_GB2312"/>
          <w:color w:val="000000"/>
          <w:sz w:val="32"/>
          <w:szCs w:val="32"/>
        </w:rPr>
        <w:t>、</w:t>
      </w:r>
      <w:r>
        <w:rPr>
          <w:rFonts w:ascii="仿宋" w:hAnsi="仿宋" w:eastAsia="仿宋" w:cs="仿宋_GB2312"/>
          <w:color w:val="000000"/>
          <w:sz w:val="32"/>
          <w:szCs w:val="32"/>
        </w:rPr>
        <w:t>爱心帮扶</w:t>
      </w:r>
      <w:r>
        <w:rPr>
          <w:rFonts w:hint="eastAsia" w:ascii="仿宋" w:hAnsi="仿宋" w:eastAsia="仿宋" w:cs="仿宋_GB2312"/>
          <w:color w:val="000000"/>
          <w:sz w:val="32"/>
          <w:szCs w:val="32"/>
        </w:rPr>
        <w:t>和水利厅统筹资金帮扶</w:t>
      </w:r>
      <w:r>
        <w:rPr>
          <w:rFonts w:ascii="仿宋" w:hAnsi="仿宋" w:eastAsia="仿宋" w:cs="仿宋_GB2312"/>
          <w:color w:val="000000"/>
          <w:sz w:val="32"/>
          <w:szCs w:val="32"/>
        </w:rPr>
        <w:t>等</w:t>
      </w:r>
      <w:r>
        <w:rPr>
          <w:rFonts w:hint="eastAsia" w:ascii="仿宋" w:hAnsi="仿宋" w:eastAsia="仿宋" w:cs="仿宋_GB2312"/>
          <w:color w:val="000000"/>
          <w:sz w:val="32"/>
          <w:szCs w:val="32"/>
        </w:rPr>
        <w:t>22</w:t>
      </w:r>
      <w:r>
        <w:rPr>
          <w:rFonts w:ascii="仿宋" w:hAnsi="仿宋" w:eastAsia="仿宋" w:cs="仿宋_GB2312"/>
          <w:color w:val="000000"/>
          <w:sz w:val="32"/>
          <w:szCs w:val="32"/>
        </w:rPr>
        <w:t>个帮扶项目</w:t>
      </w:r>
      <w:r>
        <w:rPr>
          <w:rFonts w:hint="eastAsia" w:ascii="仿宋" w:hAnsi="仿宋" w:eastAsia="仿宋" w:cs="仿宋_GB2312"/>
          <w:color w:val="000000"/>
          <w:sz w:val="32"/>
          <w:szCs w:val="32"/>
        </w:rPr>
        <w:t>，</w:t>
      </w:r>
      <w:r>
        <w:rPr>
          <w:rFonts w:ascii="仿宋" w:hAnsi="仿宋" w:eastAsia="仿宋" w:cs="仿宋_GB2312"/>
          <w:color w:val="000000"/>
          <w:sz w:val="32"/>
          <w:szCs w:val="32"/>
        </w:rPr>
        <w:t>为帮扶地</w:t>
      </w:r>
      <w:r>
        <w:rPr>
          <w:rFonts w:hint="eastAsia" w:ascii="仿宋" w:hAnsi="仿宋" w:eastAsia="仿宋" w:cs="仿宋_GB2312"/>
          <w:color w:val="000000"/>
          <w:sz w:val="32"/>
          <w:szCs w:val="32"/>
        </w:rPr>
        <w:t>巩固了脱贫成果，圆满完成脱贫攻坚任务。其中，竹庆镇八色村协庆小学饮水安全工程项目建设，彻底解决了该校322名师生的安全饮水问题；在龚垭镇康公村党群中心新建取水井2座，为竹庆镇八色村和拥青顶村牧民购买95个蓄水桶，缓解了部分贫困户冬天饮水困难问题；龚垭镇康公村岩乌山上山道路开挖、扩宽项目，极大改善了周边群众的交通出行条件；竹庆镇更曲河堤防建设项目，助力当地补齐水利设施短板，为保障竹庆镇安全度汛及群众生命财产安全将发挥积极作用；</w:t>
      </w:r>
      <w:bookmarkStart w:id="50" w:name="_Hlk66225970"/>
      <w:r>
        <w:rPr>
          <w:rFonts w:hint="eastAsia" w:ascii="仿宋" w:hAnsi="仿宋" w:eastAsia="仿宋" w:cs="仿宋_GB2312"/>
          <w:color w:val="000000"/>
          <w:sz w:val="32"/>
          <w:szCs w:val="32"/>
        </w:rPr>
        <w:t>龚垭镇</w:t>
      </w:r>
      <w:bookmarkEnd w:id="50"/>
      <w:r>
        <w:rPr>
          <w:rFonts w:hint="eastAsia" w:ascii="仿宋" w:hAnsi="仿宋" w:eastAsia="仿宋" w:cs="仿宋_GB2312"/>
          <w:color w:val="000000"/>
          <w:sz w:val="32"/>
          <w:szCs w:val="32"/>
        </w:rPr>
        <w:t>康公村岩乌组高山洋芋种植地围栏建设、购买种子、种植设备，竹庆镇八色村、拥青顶村发展庭院经济等项目实施，增强了村集体经济实力；向竹庆镇中心小学、协庆小学、通亚玛小学捐赠校服456套，为帮扶地261名困难学生捐赠助学金，受到师生们的高度评价；购买生活用品慰问帮扶地贫困户，为籁笏村31户困难户提供公益性岗位补贴；为八色村和籁笏村活动室办购买公用品和公共宣传设施；积极发动全局干部职工，通过扶贫对接、扶贫公募、扶贫日献爱心和消费扶贫等活动为帮扶地捐赠爱心帮扶金。</w:t>
      </w:r>
    </w:p>
    <w:p>
      <w:pPr>
        <w:numPr>
          <w:ilvl w:val="0"/>
          <w:numId w:val="5"/>
        </w:num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项目效益情况。</w:t>
      </w:r>
    </w:p>
    <w:p>
      <w:pPr>
        <w:widowControl/>
        <w:tabs>
          <w:tab w:val="left" w:pos="312"/>
        </w:tabs>
        <w:spacing w:line="560" w:lineRule="exact"/>
        <w:ind w:firstLine="640" w:firstLineChars="200"/>
        <w:jc w:val="left"/>
        <w:rPr>
          <w:rFonts w:ascii="仿宋" w:hAnsi="仿宋" w:eastAsia="仿宋"/>
        </w:rPr>
      </w:pPr>
      <w:r>
        <w:rPr>
          <w:rFonts w:hint="eastAsia" w:ascii="仿宋" w:hAnsi="仿宋" w:eastAsia="仿宋" w:cs="仿宋_GB2312"/>
          <w:color w:val="000000"/>
          <w:sz w:val="32"/>
          <w:szCs w:val="32"/>
        </w:rPr>
        <w:t>通过实施帮扶项目，使帮扶地在安全饮水上达到全覆盖；村民通过产业帮扶，发展庭院经济，不仅自给自足吃上自己亲手种植的蔬菜，还增加了经济收入；教育帮扶促进当地教育事业发展，帮助贫困地区学生顺利完成学业；基础设施帮扶，使竹庆镇在汛期防洪压力得到根本性解决，方便了康公村岩乌山周边群众出行；就业帮扶为收入疑似不达标的困难户和边缘户提供公益性岗位，防止出现返贫；帮助村上更换宣传栏、宣传标语，支持村级活动室购买办公用品，提升了村办公能力。总之，帮扶地“两不愁、三保障”得到巩固，无返贫人员和边缘户，全村的道路设施、产业项目、安全用水等均得到较大的提升和保障，帮扶地老百姓对我局的帮扶表示极大肯定和感谢。</w:t>
      </w:r>
    </w:p>
    <w:p>
      <w:pPr>
        <w:adjustRightInd w:val="0"/>
        <w:snapToGrid w:val="0"/>
        <w:spacing w:line="600" w:lineRule="exact"/>
        <w:ind w:firstLine="720"/>
        <w:rPr>
          <w:rFonts w:ascii="仿宋" w:hAnsi="仿宋" w:eastAsia="仿宋"/>
          <w:b/>
          <w:bCs/>
          <w:sz w:val="32"/>
          <w:szCs w:val="32"/>
        </w:rPr>
      </w:pPr>
      <w:r>
        <w:rPr>
          <w:rFonts w:hint="eastAsia" w:ascii="仿宋" w:hAnsi="仿宋" w:eastAsia="仿宋"/>
          <w:b/>
          <w:bCs/>
          <w:sz w:val="32"/>
          <w:szCs w:val="32"/>
        </w:rPr>
        <w:t>四、问题及建议</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（一）存在的问题。</w:t>
      </w:r>
    </w:p>
    <w:p>
      <w:pPr>
        <w:widowControl/>
        <w:tabs>
          <w:tab w:val="left" w:pos="312"/>
        </w:tabs>
        <w:spacing w:line="560" w:lineRule="exact"/>
        <w:ind w:firstLine="640" w:firstLineChars="200"/>
        <w:jc w:val="left"/>
        <w:rPr>
          <w:rFonts w:ascii="仿宋" w:hAnsi="仿宋" w:eastAsia="仿宋"/>
          <w:b/>
          <w:sz w:val="32"/>
          <w:szCs w:val="32"/>
          <w:lang w:val="zh-CN"/>
        </w:rPr>
      </w:pPr>
      <w:r>
        <w:rPr>
          <w:rFonts w:hint="eastAsia" w:ascii="仿宋" w:hAnsi="仿宋" w:eastAsia="仿宋" w:cs="仿宋_GB2312"/>
          <w:color w:val="000000"/>
          <w:sz w:val="32"/>
          <w:szCs w:val="32"/>
        </w:rPr>
        <w:t>一是</w:t>
      </w:r>
      <w:r>
        <w:rPr>
          <w:rFonts w:ascii="仿宋" w:hAnsi="仿宋" w:eastAsia="仿宋" w:cs="仿宋_GB2312"/>
          <w:color w:val="000000"/>
          <w:sz w:val="32"/>
          <w:szCs w:val="32"/>
        </w:rPr>
        <w:t>受疫情影响，未能组织帮扶地镇村干部、党员和困难学生到都江堰灌区学习交流。二是部分帮扶项目资金与帮扶地的实际需求尚有差距，需要结对帮扶地的各级帮扶单位齐心协力，共同支持。三</w:t>
      </w:r>
      <w:r>
        <w:rPr>
          <w:rFonts w:hint="eastAsia" w:ascii="仿宋" w:hAnsi="仿宋" w:eastAsia="仿宋" w:cs="仿宋_GB2312"/>
          <w:color w:val="000000"/>
          <w:sz w:val="32"/>
          <w:szCs w:val="32"/>
        </w:rPr>
        <w:t>是帮扶地集体经济单一、薄弱，没有实质的产业带动集体经济增收，可持续性较差。</w:t>
      </w:r>
    </w:p>
    <w:p>
      <w:pPr>
        <w:adjustRightInd w:val="0"/>
        <w:snapToGrid w:val="0"/>
        <w:spacing w:line="600" w:lineRule="exact"/>
        <w:ind w:firstLine="643" w:firstLineChars="200"/>
        <w:rPr>
          <w:rFonts w:ascii="仿宋" w:hAnsi="仿宋" w:eastAsia="仿宋"/>
          <w:b/>
          <w:sz w:val="32"/>
          <w:szCs w:val="32"/>
          <w:lang w:val="zh-CN"/>
        </w:rPr>
      </w:pPr>
      <w:r>
        <w:rPr>
          <w:rFonts w:hint="eastAsia" w:ascii="仿宋" w:hAnsi="仿宋" w:eastAsia="仿宋"/>
          <w:b/>
          <w:sz w:val="32"/>
          <w:szCs w:val="32"/>
          <w:lang w:val="zh-CN"/>
        </w:rPr>
        <w:t>（二）相关建议。</w:t>
      </w:r>
    </w:p>
    <w:p>
      <w:pPr>
        <w:rPr>
          <w:rFonts w:hint="eastAsia" w:ascii="仿宋" w:hAnsi="仿宋" w:eastAsia="仿宋" w:cs="仿宋_GB2312"/>
          <w:color w:val="000000"/>
          <w:sz w:val="32"/>
          <w:szCs w:val="32"/>
        </w:rPr>
      </w:pPr>
      <w:r>
        <w:rPr>
          <w:rFonts w:hint="eastAsia" w:ascii="仿宋" w:hAnsi="仿宋" w:eastAsia="仿宋" w:cs="仿宋_GB2312"/>
          <w:color w:val="000000"/>
          <w:sz w:val="32"/>
          <w:szCs w:val="32"/>
        </w:rPr>
        <w:t xml:space="preserve">    在巩固脱贫攻坚成果同乡村振兴有效衔接上下功夫，充分发挥水利专业优势，指导帮扶地理清发展思路、选准振兴路径、落实具体措施，继续在教育、医疗、产业帮扶上下功</w:t>
      </w:r>
    </w:p>
    <w:p>
      <w:pPr>
        <w:spacing w:line="600" w:lineRule="exact"/>
        <w:jc w:val="center"/>
        <w:rPr>
          <w:rFonts w:hint="eastAsia" w:ascii="仿宋" w:hAnsi="仿宋" w:eastAsia="仿宋" w:cs="仿宋_GB2312"/>
          <w:b/>
          <w:sz w:val="32"/>
          <w:szCs w:val="32"/>
        </w:rPr>
      </w:pPr>
    </w:p>
    <w:p>
      <w:pPr>
        <w:spacing w:line="600" w:lineRule="exact"/>
        <w:jc w:val="center"/>
        <w:rPr>
          <w:rFonts w:hint="eastAsia" w:ascii="仿宋" w:hAnsi="仿宋" w:eastAsia="仿宋" w:cs="仿宋_GB2312"/>
          <w:b/>
          <w:sz w:val="32"/>
          <w:szCs w:val="32"/>
        </w:rPr>
      </w:pPr>
      <w:r>
        <w:rPr>
          <w:rFonts w:hint="eastAsia" w:ascii="仿宋" w:hAnsi="仿宋" w:eastAsia="仿宋" w:cs="仿宋_GB2312"/>
          <w:b/>
          <w:sz w:val="32"/>
          <w:szCs w:val="32"/>
          <w:lang w:val="en-US" w:eastAsia="zh-CN"/>
        </w:rPr>
        <w:t>2020年</w:t>
      </w:r>
      <w:r>
        <w:rPr>
          <w:rFonts w:hint="eastAsia" w:ascii="仿宋" w:hAnsi="仿宋" w:eastAsia="仿宋" w:cs="仿宋_GB2312"/>
          <w:b/>
          <w:sz w:val="32"/>
          <w:szCs w:val="32"/>
        </w:rPr>
        <w:t>上年结转厅人事档案数字化集中管理档案室改造</w:t>
      </w:r>
    </w:p>
    <w:p>
      <w:pPr>
        <w:spacing w:line="600" w:lineRule="exact"/>
        <w:jc w:val="center"/>
        <w:rPr>
          <w:rFonts w:ascii="仿宋" w:hAnsi="仿宋" w:eastAsia="仿宋"/>
          <w:b/>
          <w:kern w:val="0"/>
          <w:sz w:val="32"/>
          <w:szCs w:val="32"/>
          <w:lang w:val="zh-CN"/>
        </w:rPr>
      </w:pPr>
      <w:r>
        <w:rPr>
          <w:rFonts w:hint="eastAsia" w:ascii="仿宋" w:hAnsi="仿宋" w:eastAsia="仿宋" w:cs="仿宋_GB2312"/>
          <w:b/>
          <w:sz w:val="32"/>
          <w:szCs w:val="32"/>
        </w:rPr>
        <w:t>工程</w:t>
      </w:r>
      <w:r>
        <w:rPr>
          <w:rFonts w:hint="eastAsia" w:ascii="仿宋" w:hAnsi="仿宋" w:eastAsia="仿宋"/>
          <w:b/>
          <w:kern w:val="0"/>
          <w:sz w:val="32"/>
          <w:szCs w:val="32"/>
          <w:lang w:val="zh-CN"/>
        </w:rPr>
        <w:t>项目支出绩效自评报告</w:t>
      </w:r>
    </w:p>
    <w:p>
      <w:pPr>
        <w:spacing w:line="600" w:lineRule="exact"/>
        <w:ind w:firstLine="640"/>
        <w:jc w:val="center"/>
        <w:rPr>
          <w:rFonts w:ascii="仿宋" w:hAnsi="仿宋" w:eastAsia="仿宋"/>
          <w:sz w:val="32"/>
          <w:szCs w:val="32"/>
          <w:lang w:val="zh-CN"/>
        </w:rPr>
      </w:pPr>
    </w:p>
    <w:p>
      <w:pPr>
        <w:adjustRightInd w:val="0"/>
        <w:snapToGrid w:val="0"/>
        <w:spacing w:line="600" w:lineRule="exact"/>
        <w:ind w:firstLine="720"/>
        <w:rPr>
          <w:rFonts w:ascii="仿宋" w:hAnsi="仿宋" w:eastAsia="仿宋"/>
          <w:b/>
          <w:bCs/>
          <w:sz w:val="32"/>
          <w:szCs w:val="32"/>
          <w:lang w:val="zh-CN"/>
        </w:rPr>
      </w:pPr>
      <w:r>
        <w:rPr>
          <w:rFonts w:hint="eastAsia" w:ascii="仿宋" w:hAnsi="仿宋" w:eastAsia="仿宋"/>
          <w:b/>
          <w:bCs/>
          <w:sz w:val="32"/>
          <w:szCs w:val="32"/>
        </w:rPr>
        <w:t>一、</w:t>
      </w:r>
      <w:r>
        <w:rPr>
          <w:rFonts w:hint="eastAsia" w:ascii="仿宋" w:hAnsi="仿宋" w:eastAsia="仿宋"/>
          <w:b/>
          <w:bCs/>
          <w:sz w:val="32"/>
          <w:szCs w:val="32"/>
          <w:lang w:val="zh-CN"/>
        </w:rPr>
        <w:t>项目概况</w:t>
      </w:r>
    </w:p>
    <w:p>
      <w:pPr>
        <w:tabs>
          <w:tab w:val="left" w:pos="3885"/>
        </w:tabs>
        <w:snapToGrid w:val="0"/>
        <w:spacing w:line="600" w:lineRule="exact"/>
        <w:ind w:firstLine="640" w:firstLineChars="200"/>
        <w:jc w:val="left"/>
        <w:rPr>
          <w:rFonts w:ascii="仿宋" w:hAnsi="仿宋" w:eastAsia="仿宋" w:cstheme="minorBidi"/>
          <w:sz w:val="32"/>
          <w:szCs w:val="32"/>
        </w:rPr>
      </w:pPr>
      <w:r>
        <w:rPr>
          <w:rFonts w:hint="eastAsia" w:ascii="仿宋" w:hAnsi="仿宋" w:eastAsia="仿宋" w:cstheme="minorBidi"/>
          <w:sz w:val="32"/>
          <w:szCs w:val="32"/>
        </w:rPr>
        <w:t xml:space="preserve">按照《四川省水利厅关于做好厅人事档案数字化有关工 </w:t>
      </w:r>
    </w:p>
    <w:p>
      <w:pPr>
        <w:tabs>
          <w:tab w:val="left" w:pos="3885"/>
        </w:tabs>
        <w:snapToGrid w:val="0"/>
        <w:spacing w:line="600" w:lineRule="exact"/>
        <w:jc w:val="left"/>
        <w:rPr>
          <w:rFonts w:ascii="仿宋" w:hAnsi="仿宋" w:eastAsia="仿宋" w:cstheme="minorBidi"/>
          <w:sz w:val="32"/>
          <w:szCs w:val="32"/>
        </w:rPr>
      </w:pPr>
      <w:r>
        <w:rPr>
          <w:rFonts w:ascii="仿宋" w:hAnsi="仿宋" w:eastAsia="仿宋" w:cstheme="minorBidi"/>
          <w:sz w:val="32"/>
          <w:szCs w:val="32"/>
        </w:rPr>
        <w:t>作的通知》（川水函〔2019〕680 号）要求，由我局承担厅人事档案数字化集中管理档案室建设工作。该项目位于省都江堰管理局都江堰水利调度应急抢险指挥中心一楼，我局按照省委组织部印发的《省属单位管理的干部人事档案数字化工作实施方案》和工程建设管理等规定，组织制定了《四川省水利厅人事档案数字化集中管理档案室建设项目实施方案》，2019 年 11 月 19 日和 26 日组织专家组对该方案和预算进行了审查。</w:t>
      </w:r>
    </w:p>
    <w:p>
      <w:pPr>
        <w:widowControl/>
        <w:numPr>
          <w:ilvl w:val="0"/>
          <w:numId w:val="6"/>
        </w:numPr>
        <w:jc w:val="left"/>
        <w:rPr>
          <w:rFonts w:ascii="仿宋" w:hAnsi="仿宋" w:eastAsia="仿宋" w:cstheme="minorBidi"/>
          <w:sz w:val="32"/>
          <w:szCs w:val="32"/>
        </w:rPr>
      </w:pPr>
      <w:r>
        <w:rPr>
          <w:rFonts w:hint="eastAsia" w:ascii="仿宋" w:hAnsi="仿宋" w:eastAsia="仿宋"/>
          <w:b/>
          <w:sz w:val="32"/>
          <w:szCs w:val="32"/>
          <w:lang w:val="zh-CN"/>
        </w:rPr>
        <w:t>项目资金申报及批复情况。</w:t>
      </w:r>
      <w:r>
        <w:rPr>
          <w:rFonts w:hint="eastAsia" w:ascii="仿宋" w:hAnsi="仿宋" w:eastAsia="仿宋"/>
          <w:sz w:val="32"/>
          <w:szCs w:val="32"/>
        </w:rPr>
        <w:t>2</w:t>
      </w:r>
      <w:r>
        <w:rPr>
          <w:rFonts w:hint="eastAsia" w:ascii="仿宋" w:hAnsi="仿宋" w:eastAsia="仿宋" w:cstheme="minorBidi"/>
          <w:sz w:val="32"/>
          <w:szCs w:val="32"/>
        </w:rPr>
        <w:t>019年12月，我局与北京星震同源数字系统股份有限公司签订了《四川省水利厅人事档案数字化集中管理档案室改造项目合同书》，约定合同总价为1970000.00元（人民币：壹佰玖拾柒万元整）。该项目开建后，为提高改造质量和使用需要，决定对部分方案进行优化并新增档案库房新风系统和文化墙建设。为此，进行了设计变更，提出新增和变更的原因、图纸和费用等设计变更方案，经监理方和甲方确认后施工。该项目完成后，提请了决算审计。该项目</w:t>
      </w:r>
      <w:r>
        <w:rPr>
          <w:rFonts w:ascii="仿宋" w:hAnsi="仿宋" w:eastAsia="仿宋" w:cstheme="minorBidi"/>
          <w:sz w:val="32"/>
          <w:szCs w:val="32"/>
        </w:rPr>
        <w:t>预算批复总金额：2018628.00 元（其中：工程直接费为1970000 元，独立费用为 48628.00 元）。上报工程决算总金额 ：2200613.61 元（其中：工程直接费为 2151985.61 元，独立费用为 48628.00 元）</w:t>
      </w:r>
      <w:r>
        <w:rPr>
          <w:rFonts w:hint="eastAsia" w:ascii="仿宋" w:hAnsi="仿宋" w:eastAsia="仿宋" w:cstheme="minorBidi"/>
          <w:sz w:val="32"/>
          <w:szCs w:val="32"/>
        </w:rPr>
        <w:t>。</w:t>
      </w:r>
      <w:r>
        <w:rPr>
          <w:rFonts w:ascii="仿宋" w:hAnsi="仿宋" w:eastAsia="仿宋" w:cstheme="minorBidi"/>
          <w:sz w:val="32"/>
          <w:szCs w:val="32"/>
        </w:rPr>
        <w:t>经审查：工程决算总金额为 2014362.06 元（其中：工程直接费由川恒造价审〔2020〕118 号编制共计 1965734.06 元，独立费用为 48628.00 元），该费用列在水利厅人事档案数字化集中管理档案室改造项目经费中</w:t>
      </w:r>
      <w:r>
        <w:rPr>
          <w:rFonts w:hint="eastAsia" w:ascii="仿宋" w:hAnsi="仿宋" w:eastAsia="仿宋" w:cstheme="minorBidi"/>
          <w:sz w:val="32"/>
          <w:szCs w:val="32"/>
        </w:rPr>
        <w:t>。</w:t>
      </w:r>
    </w:p>
    <w:p>
      <w:pPr>
        <w:widowControl/>
        <w:ind w:firstLine="643" w:firstLineChars="200"/>
        <w:jc w:val="left"/>
        <w:rPr>
          <w:rFonts w:ascii="仿宋" w:hAnsi="仿宋" w:eastAsia="仿宋" w:cstheme="minorBidi"/>
          <w:sz w:val="32"/>
          <w:szCs w:val="32"/>
        </w:rPr>
      </w:pPr>
      <w:r>
        <w:rPr>
          <w:rFonts w:hint="eastAsia" w:ascii="仿宋" w:hAnsi="仿宋" w:eastAsia="仿宋"/>
          <w:b/>
          <w:sz w:val="32"/>
          <w:szCs w:val="32"/>
          <w:lang w:val="zh-CN"/>
        </w:rPr>
        <w:t>（二）项目绩效目标。</w:t>
      </w:r>
      <w:r>
        <w:rPr>
          <w:rFonts w:ascii="仿宋" w:hAnsi="仿宋" w:eastAsia="仿宋" w:cstheme="minorBidi"/>
          <w:sz w:val="32"/>
          <w:szCs w:val="32"/>
        </w:rPr>
        <w:t xml:space="preserve">该项目总建筑面积为 287 </w:t>
      </w:r>
      <w:r>
        <w:rPr>
          <w:rFonts w:hint="eastAsia" w:ascii="仿宋" w:hAnsi="仿宋" w:eastAsia="仿宋" w:cstheme="minorBidi"/>
          <w:sz w:val="32"/>
          <w:szCs w:val="32"/>
        </w:rPr>
        <w:t>㎡</w:t>
      </w:r>
      <w:r>
        <w:rPr>
          <w:rFonts w:ascii="仿宋" w:hAnsi="仿宋" w:eastAsia="仿宋" w:cstheme="minorBidi"/>
          <w:sz w:val="32"/>
          <w:szCs w:val="32"/>
        </w:rPr>
        <w:t>，砖混结构，楼层总高为 3.8m。建设内容主要包括档案室改造（档案资料库房承重加固、档案室装修改造、智能化工程中的强电工程、弱电工程）、回转柜等设施设备（建筑智能化工程、数字化配套耗材）安装、新增档案库房新风系统等。该项目于 2020 年 9 月 28 日完成竣工验收</w:t>
      </w:r>
      <w:r>
        <w:rPr>
          <w:rFonts w:hint="eastAsia" w:ascii="仿宋" w:hAnsi="仿宋" w:eastAsia="仿宋" w:cstheme="minorBidi"/>
          <w:sz w:val="32"/>
          <w:szCs w:val="32"/>
        </w:rPr>
        <w:t>。</w:t>
      </w:r>
    </w:p>
    <w:p>
      <w:pPr>
        <w:widowControl/>
        <w:ind w:firstLine="643" w:firstLineChars="200"/>
        <w:jc w:val="left"/>
        <w:rPr>
          <w:rFonts w:ascii="仿宋" w:hAnsi="仿宋" w:eastAsia="仿宋" w:cstheme="minorBidi"/>
          <w:sz w:val="32"/>
          <w:szCs w:val="32"/>
          <w:lang w:val="zh-CN"/>
        </w:rPr>
      </w:pPr>
      <w:r>
        <w:rPr>
          <w:rFonts w:hint="eastAsia" w:ascii="仿宋" w:hAnsi="仿宋" w:eastAsia="仿宋"/>
          <w:b/>
          <w:sz w:val="32"/>
          <w:szCs w:val="32"/>
          <w:lang w:val="zh-CN"/>
        </w:rPr>
        <w:t>（三）项目资金申报相符性。</w:t>
      </w:r>
      <w:r>
        <w:rPr>
          <w:rFonts w:hint="eastAsia" w:ascii="仿宋" w:hAnsi="仿宋" w:eastAsia="仿宋" w:cstheme="minorBidi"/>
          <w:sz w:val="32"/>
          <w:szCs w:val="32"/>
          <w:lang w:val="zh-CN"/>
        </w:rPr>
        <w:t>该项目申报内容与具体实施内容相符，且合理可行，实现了预期目标。</w:t>
      </w:r>
    </w:p>
    <w:p>
      <w:pPr>
        <w:widowControl/>
        <w:ind w:firstLine="643" w:firstLineChars="200"/>
        <w:jc w:val="left"/>
        <w:rPr>
          <w:rFonts w:ascii="仿宋" w:hAnsi="仿宋" w:eastAsia="仿宋"/>
          <w:b/>
          <w:sz w:val="32"/>
          <w:szCs w:val="32"/>
        </w:rPr>
      </w:pPr>
      <w:r>
        <w:rPr>
          <w:rFonts w:hint="eastAsia" w:ascii="仿宋" w:hAnsi="仿宋" w:eastAsia="仿宋"/>
          <w:b/>
          <w:sz w:val="32"/>
          <w:szCs w:val="32"/>
        </w:rPr>
        <w:t>二、项目实施及管理情况</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sz w:val="32"/>
          <w:szCs w:val="32"/>
          <w:lang w:val="zh-CN"/>
        </w:rPr>
        <w:tab/>
      </w:r>
      <w:r>
        <w:rPr>
          <w:rFonts w:hint="eastAsia" w:ascii="仿宋" w:hAnsi="仿宋" w:eastAsia="仿宋"/>
          <w:b/>
          <w:sz w:val="32"/>
          <w:szCs w:val="32"/>
          <w:lang w:val="zh-CN"/>
        </w:rPr>
        <w:t>（一）资金计划、到位及使用情况。</w:t>
      </w:r>
    </w:p>
    <w:p>
      <w:pPr>
        <w:ind w:firstLine="600"/>
        <w:rPr>
          <w:rFonts w:hint="eastAsia" w:ascii="仿宋" w:hAnsi="仿宋" w:eastAsia="仿宋" w:cstheme="minorBidi"/>
          <w:sz w:val="32"/>
          <w:szCs w:val="32"/>
          <w:lang w:val="zh-CN"/>
        </w:rPr>
      </w:pPr>
      <w:r>
        <w:rPr>
          <w:rFonts w:hint="eastAsia" w:ascii="仿宋" w:hAnsi="仿宋" w:eastAsia="仿宋" w:cstheme="minorBidi"/>
          <w:sz w:val="32"/>
          <w:szCs w:val="32"/>
          <w:lang w:val="zh-CN"/>
        </w:rPr>
        <w:t>经比选和合同谈判，确定该项目由北京星震同源数字系统股份有限公司承担施工，委托四川创越工程管理有限公司作为监理单位实施工程监理。</w:t>
      </w:r>
    </w:p>
    <w:p>
      <w:pPr>
        <w:ind w:firstLine="600"/>
        <w:rPr>
          <w:rFonts w:hint="eastAsia" w:ascii="仿宋" w:hAnsi="仿宋" w:eastAsia="仿宋" w:cstheme="minorBidi"/>
          <w:sz w:val="32"/>
          <w:szCs w:val="32"/>
          <w:lang w:val="zh-CN"/>
        </w:rPr>
      </w:pPr>
      <w:r>
        <w:rPr>
          <w:rFonts w:hint="eastAsia" w:ascii="仿宋" w:hAnsi="仿宋" w:eastAsia="仿宋" w:cstheme="minorBidi"/>
          <w:sz w:val="32"/>
          <w:szCs w:val="32"/>
          <w:lang w:val="zh-CN"/>
        </w:rPr>
        <w:t>2019年12月17日与星震同源数字系统股份有限公司签订了合同，自合同签署生效，即支付合同金额的25%（￥492500.00元）作为预付款；档案室装修设计改造项目全部完工后（档案室装修改造、库房承重加固），经验收合格，支付了合同金额的50%（￥985000.00元）；回转柜等设施设备（智能化系统、数字化配套耗材）安装完成，验收合格并竣工结算完成后，支付了该工程尾款（￥389734.06元）；在项目验收通过并正常运行1年后，支付给乙方剩余5%质保金（￥98500.00元）。</w:t>
      </w:r>
    </w:p>
    <w:p>
      <w:pPr>
        <w:ind w:firstLine="600"/>
        <w:rPr>
          <w:rFonts w:hint="eastAsia" w:ascii="仿宋" w:hAnsi="仿宋" w:eastAsia="仿宋" w:cstheme="minorBidi"/>
          <w:sz w:val="32"/>
          <w:szCs w:val="32"/>
          <w:lang w:val="zh-CN"/>
        </w:rPr>
      </w:pPr>
      <w:r>
        <w:rPr>
          <w:rFonts w:hint="eastAsia" w:ascii="仿宋" w:hAnsi="仿宋" w:eastAsia="仿宋" w:cstheme="minorBidi"/>
          <w:sz w:val="32"/>
          <w:szCs w:val="32"/>
          <w:lang w:val="zh-CN"/>
        </w:rPr>
        <w:t>2019年12月26日与四川创越工程管理有限公司签订了委托监理合同。合同生效，即根据合同专用条款第三十九条约定向四川创越工程管理有限公司支付工程监理服务费30%（￥14588.00元）；工程完工并结算审计后，根据审计结果和与四川创越工程管理有限公司签订的委托监理合同，向四川创越工程管理有限公司支付了工程监理服务费余款（￥34040.00元）。</w:t>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（二）项目财务管理情况。</w:t>
      </w:r>
    </w:p>
    <w:p>
      <w:pPr>
        <w:adjustRightInd w:val="0"/>
        <w:snapToGrid w:val="0"/>
        <w:spacing w:line="600" w:lineRule="exact"/>
        <w:ind w:firstLine="720"/>
        <w:rPr>
          <w:rFonts w:ascii="仿宋" w:hAnsi="仿宋" w:eastAsia="仿宋"/>
          <w:sz w:val="32"/>
          <w:szCs w:val="32"/>
          <w:lang w:val="zh-CN"/>
        </w:rPr>
      </w:pPr>
      <w:r>
        <w:rPr>
          <w:rFonts w:hint="eastAsia" w:ascii="仿宋" w:hAnsi="仿宋" w:eastAsia="仿宋"/>
          <w:sz w:val="32"/>
          <w:szCs w:val="32"/>
          <w:lang w:val="zh-CN"/>
        </w:rPr>
        <w:t>本项目严格执行财务管理制度以及《四川省都江堰管理局资金管理办法》，做好项目会计核算及账务处理等相关工作，及时支付项目进度款项。</w:t>
      </w:r>
    </w:p>
    <w:p>
      <w:pPr>
        <w:numPr>
          <w:ilvl w:val="0"/>
          <w:numId w:val="0"/>
        </w:numPr>
        <w:adjustRightInd w:val="0"/>
        <w:snapToGrid w:val="0"/>
        <w:spacing w:line="600" w:lineRule="exact"/>
        <w:ind w:firstLine="643" w:firstLineChars="200"/>
        <w:rPr>
          <w:rFonts w:ascii="仿宋" w:hAnsi="仿宋" w:eastAsia="仿宋"/>
          <w:b/>
          <w:sz w:val="32"/>
          <w:szCs w:val="32"/>
          <w:lang w:val="zh-CN"/>
        </w:rPr>
      </w:pPr>
      <w:r>
        <w:rPr>
          <w:rFonts w:hint="eastAsia" w:ascii="仿宋" w:hAnsi="仿宋" w:eastAsia="仿宋"/>
          <w:b/>
          <w:sz w:val="32"/>
          <w:szCs w:val="32"/>
          <w:lang w:val="zh-CN"/>
        </w:rPr>
        <w:t>（</w:t>
      </w:r>
      <w:r>
        <w:rPr>
          <w:rFonts w:hint="eastAsia" w:ascii="仿宋" w:hAnsi="仿宋" w:eastAsia="仿宋"/>
          <w:b/>
          <w:sz w:val="32"/>
          <w:szCs w:val="32"/>
          <w:lang w:val="en-US" w:eastAsia="zh-CN"/>
        </w:rPr>
        <w:t>三</w:t>
      </w:r>
      <w:r>
        <w:rPr>
          <w:rFonts w:hint="eastAsia" w:ascii="仿宋" w:hAnsi="仿宋" w:eastAsia="仿宋"/>
          <w:b/>
          <w:sz w:val="32"/>
          <w:szCs w:val="32"/>
          <w:lang w:val="zh-CN"/>
        </w:rPr>
        <w:t>）项目组织实施情况。</w:t>
      </w:r>
    </w:p>
    <w:p>
      <w:pPr>
        <w:ind w:firstLine="600"/>
        <w:rPr>
          <w:rFonts w:ascii="仿宋" w:hAnsi="仿宋" w:eastAsia="仿宋" w:cstheme="minorBidi"/>
          <w:sz w:val="32"/>
          <w:szCs w:val="32"/>
        </w:rPr>
      </w:pPr>
      <w:r>
        <w:rPr>
          <w:rFonts w:hint="eastAsia" w:ascii="仿宋" w:hAnsi="仿宋" w:eastAsia="仿宋" w:cstheme="minorBidi"/>
          <w:sz w:val="32"/>
          <w:szCs w:val="32"/>
        </w:rPr>
        <w:t>为顺利完成水利厅党</w:t>
      </w:r>
      <w:r>
        <w:rPr>
          <w:rFonts w:ascii="仿宋" w:hAnsi="仿宋" w:eastAsia="仿宋" w:cstheme="minorBidi"/>
          <w:sz w:val="32"/>
          <w:szCs w:val="32"/>
        </w:rPr>
        <w:t>组下达的工作任务，经研究决定，成立</w:t>
      </w:r>
      <w:r>
        <w:rPr>
          <w:rFonts w:hint="eastAsia" w:ascii="仿宋" w:hAnsi="仿宋" w:eastAsia="仿宋" w:cstheme="minorBidi"/>
          <w:sz w:val="32"/>
          <w:szCs w:val="32"/>
        </w:rPr>
        <w:t>了</w:t>
      </w:r>
      <w:r>
        <w:rPr>
          <w:rFonts w:ascii="仿宋" w:hAnsi="仿宋" w:eastAsia="仿宋" w:cstheme="minorBidi"/>
          <w:sz w:val="32"/>
          <w:szCs w:val="32"/>
        </w:rPr>
        <w:t>水利厅人事档案数字化集中管理档案室建设省都江堰管理局工作组，</w:t>
      </w:r>
      <w:r>
        <w:rPr>
          <w:rFonts w:hint="eastAsia" w:ascii="仿宋" w:hAnsi="仿宋" w:eastAsia="仿宋" w:cstheme="minorBidi"/>
          <w:sz w:val="32"/>
          <w:szCs w:val="32"/>
        </w:rPr>
        <w:t>严格按照工程建设管理程序，组织厅人事档案数字化集</w:t>
      </w:r>
      <w:r>
        <w:rPr>
          <w:rFonts w:ascii="仿宋" w:hAnsi="仿宋" w:eastAsia="仿宋" w:cstheme="minorBidi"/>
          <w:sz w:val="32"/>
          <w:szCs w:val="32"/>
        </w:rPr>
        <w:t>中管理档案室建设改造项目的实施</w:t>
      </w:r>
      <w:r>
        <w:rPr>
          <w:rFonts w:hint="eastAsia" w:ascii="仿宋" w:hAnsi="仿宋" w:eastAsia="仿宋" w:cstheme="minorBidi"/>
          <w:sz w:val="32"/>
          <w:szCs w:val="32"/>
        </w:rPr>
        <w:t>。</w:t>
      </w:r>
      <w:r>
        <w:rPr>
          <w:rFonts w:hint="eastAsia" w:ascii="仿宋" w:hAnsi="仿宋" w:eastAsia="仿宋" w:cstheme="minorBidi"/>
          <w:sz w:val="32"/>
          <w:szCs w:val="32"/>
          <w:lang w:val="zh-CN"/>
        </w:rPr>
        <w:t>经调研和多次咨询并组织专题会讨论，确定本工程以比选的方式确定</w:t>
      </w:r>
      <w:r>
        <w:rPr>
          <w:rFonts w:hint="eastAsia" w:ascii="仿宋" w:hAnsi="仿宋" w:eastAsia="仿宋" w:cstheme="minorBidi"/>
          <w:sz w:val="32"/>
          <w:szCs w:val="32"/>
        </w:rPr>
        <w:t>项目实施单位，经比选和合同谈判，最终确定该项目由北京星震同源数字系统股份有限公司承担施工，委托四川创越工程管理有限公司作为监理单位实施工程监理。为</w:t>
      </w:r>
      <w:r>
        <w:rPr>
          <w:rFonts w:ascii="仿宋" w:hAnsi="仿宋" w:eastAsia="仿宋" w:cstheme="minorBidi"/>
          <w:sz w:val="32"/>
          <w:szCs w:val="32"/>
        </w:rPr>
        <w:t>确保工程质量和进度，经局研究，</w:t>
      </w:r>
      <w:r>
        <w:rPr>
          <w:rFonts w:hint="eastAsia" w:ascii="仿宋" w:hAnsi="仿宋" w:eastAsia="仿宋" w:cstheme="minorBidi"/>
          <w:sz w:val="32"/>
          <w:szCs w:val="32"/>
        </w:rPr>
        <w:t>又</w:t>
      </w:r>
      <w:r>
        <w:rPr>
          <w:rFonts w:ascii="仿宋" w:hAnsi="仿宋" w:eastAsia="仿宋" w:cstheme="minorBidi"/>
          <w:sz w:val="32"/>
          <w:szCs w:val="32"/>
        </w:rPr>
        <w:t>成立</w:t>
      </w:r>
      <w:r>
        <w:rPr>
          <w:rFonts w:hint="eastAsia" w:ascii="仿宋" w:hAnsi="仿宋" w:eastAsia="仿宋" w:cstheme="minorBidi"/>
          <w:sz w:val="32"/>
          <w:szCs w:val="32"/>
        </w:rPr>
        <w:t>了</w:t>
      </w:r>
      <w:r>
        <w:rPr>
          <w:rFonts w:ascii="仿宋" w:hAnsi="仿宋" w:eastAsia="仿宋" w:cstheme="minorBidi"/>
          <w:sz w:val="32"/>
          <w:szCs w:val="32"/>
        </w:rPr>
        <w:t>厅人事档案数字化集中管理档案室建设改造项目现场管理组</w:t>
      </w:r>
      <w:r>
        <w:rPr>
          <w:rFonts w:hint="eastAsia" w:ascii="仿宋" w:hAnsi="仿宋" w:eastAsia="仿宋" w:cstheme="minorBidi"/>
          <w:sz w:val="32"/>
          <w:szCs w:val="32"/>
        </w:rPr>
        <w:t>，严格按照国家和有关行业规范规定进行施工管理，合理安排工期，确保工程质量与安全。实施过程中有重大变更及时上报相关部门。工程完工后，及时组织了验收并报送竣工决算。</w:t>
      </w:r>
    </w:p>
    <w:p>
      <w:pPr>
        <w:adjustRightInd w:val="0"/>
        <w:snapToGrid w:val="0"/>
        <w:spacing w:line="600" w:lineRule="exact"/>
        <w:ind w:firstLine="720"/>
        <w:rPr>
          <w:rFonts w:ascii="仿宋" w:hAnsi="仿宋" w:eastAsia="仿宋"/>
          <w:b/>
          <w:bCs/>
          <w:sz w:val="32"/>
          <w:szCs w:val="32"/>
          <w:lang w:val="zh-CN"/>
        </w:rPr>
      </w:pPr>
      <w:r>
        <w:rPr>
          <w:rFonts w:hint="eastAsia" w:ascii="仿宋" w:hAnsi="仿宋" w:eastAsia="仿宋"/>
          <w:b/>
          <w:bCs/>
          <w:sz w:val="32"/>
          <w:szCs w:val="32"/>
        </w:rPr>
        <w:t>三、项目绩效情况</w:t>
      </w:r>
      <w:r>
        <w:rPr>
          <w:rFonts w:hint="eastAsia" w:ascii="仿宋" w:hAnsi="仿宋" w:eastAsia="仿宋"/>
          <w:b/>
          <w:bCs/>
          <w:sz w:val="32"/>
          <w:szCs w:val="32"/>
          <w:lang w:val="zh-CN"/>
        </w:rPr>
        <w:tab/>
      </w:r>
    </w:p>
    <w:p>
      <w:pPr>
        <w:adjustRightInd w:val="0"/>
        <w:snapToGrid w:val="0"/>
        <w:spacing w:line="600" w:lineRule="exact"/>
        <w:ind w:firstLine="720"/>
        <w:rPr>
          <w:rFonts w:ascii="仿宋" w:hAnsi="仿宋" w:eastAsia="仿宋"/>
          <w:b/>
          <w:sz w:val="32"/>
          <w:szCs w:val="32"/>
          <w:lang w:val="zh-CN"/>
        </w:rPr>
      </w:pPr>
      <w:r>
        <w:rPr>
          <w:rFonts w:hint="eastAsia" w:ascii="仿宋" w:hAnsi="仿宋" w:eastAsia="仿宋"/>
          <w:b/>
          <w:sz w:val="32"/>
          <w:szCs w:val="32"/>
          <w:lang w:val="zh-CN"/>
        </w:rPr>
        <w:t>（一）项目完成情况。</w:t>
      </w:r>
    </w:p>
    <w:p>
      <w:pPr>
        <w:ind w:firstLine="600"/>
        <w:rPr>
          <w:rFonts w:ascii="仿宋" w:hAnsi="仿宋" w:eastAsia="仿宋" w:cstheme="minorBidi"/>
          <w:sz w:val="32"/>
          <w:szCs w:val="32"/>
        </w:rPr>
      </w:pPr>
      <w:r>
        <w:rPr>
          <w:rFonts w:hint="eastAsia" w:ascii="仿宋" w:hAnsi="仿宋" w:eastAsia="仿宋" w:cstheme="minorBidi"/>
          <w:sz w:val="32"/>
          <w:szCs w:val="32"/>
        </w:rPr>
        <w:t>建成了四川省水利厅人事档案数字化集中管理档案室，按规定满足了办公室、档案查阅室、微机整理室、档案库房等功能区域分开要求；档案库存可以满足存放6786卷档案，满足中长期对库容量的需求；实现人事档案室高智能化管理的要求；安保、消防、温控和防潮等环境控制系统达到安全性、实用性、先进性和可扩展性要求。项目符合中共四川省委组织部《关于印发&lt;省属单位管理的干部人事档案数字化工作实施方案&gt;的通知》中有关对防火、防潮、防蛀、防盗、防光、防高温等要求</w:t>
      </w:r>
    </w:p>
    <w:p>
      <w:pPr>
        <w:numPr>
          <w:ilvl w:val="0"/>
          <w:numId w:val="6"/>
        </w:numPr>
        <w:adjustRightInd w:val="0"/>
        <w:snapToGrid w:val="0"/>
        <w:spacing w:line="600" w:lineRule="exact"/>
        <w:rPr>
          <w:rFonts w:ascii="仿宋" w:hAnsi="仿宋" w:eastAsia="仿宋" w:cstheme="minorBidi"/>
          <w:sz w:val="32"/>
          <w:szCs w:val="32"/>
        </w:rPr>
      </w:pPr>
      <w:r>
        <w:rPr>
          <w:rFonts w:hint="eastAsia" w:ascii="仿宋" w:hAnsi="仿宋" w:eastAsia="仿宋"/>
          <w:b/>
          <w:sz w:val="32"/>
          <w:szCs w:val="32"/>
          <w:lang w:val="zh-CN"/>
        </w:rPr>
        <w:t>项目效益情况。</w:t>
      </w:r>
      <w:r>
        <w:rPr>
          <w:rFonts w:hint="eastAsia" w:ascii="仿宋" w:hAnsi="仿宋" w:eastAsia="仿宋" w:cstheme="minorBidi"/>
          <w:sz w:val="32"/>
          <w:szCs w:val="32"/>
          <w:lang w:val="zh-CN"/>
        </w:rPr>
        <w:t>档案</w:t>
      </w:r>
      <w:r>
        <w:rPr>
          <w:rFonts w:hint="eastAsia" w:ascii="仿宋" w:hAnsi="仿宋" w:eastAsia="仿宋" w:cstheme="minorBidi"/>
          <w:sz w:val="32"/>
          <w:szCs w:val="32"/>
        </w:rPr>
        <w:t>库存可以实现6786卷档案，档案管理更科学、规范，高智能化，极大的提高了管档、查档人员的工作效率，档案存放更安全，档案管理更高效，系统便于升级维护，设施先进、智能，查阅档案更加科学有效。</w:t>
      </w:r>
    </w:p>
    <w:p>
      <w:pPr>
        <w:jc w:val="center"/>
        <w:rPr>
          <w:rFonts w:hint="eastAsia" w:ascii="仿宋" w:hAnsi="仿宋" w:eastAsia="仿宋" w:cs="仿宋_GB2312"/>
          <w:b/>
          <w:sz w:val="32"/>
          <w:szCs w:val="32"/>
        </w:rPr>
      </w:pPr>
    </w:p>
    <w:p>
      <w:pPr>
        <w:jc w:val="center"/>
        <w:rPr>
          <w:rFonts w:hint="eastAsia" w:ascii="仿宋" w:hAnsi="仿宋" w:eastAsia="仿宋" w:cs="仿宋_GB2312"/>
          <w:b/>
          <w:sz w:val="32"/>
          <w:szCs w:val="32"/>
        </w:rPr>
      </w:pPr>
      <w:r>
        <w:rPr>
          <w:rFonts w:hint="eastAsia" w:ascii="仿宋" w:hAnsi="仿宋" w:eastAsia="仿宋" w:cs="仿宋_GB2312"/>
          <w:b/>
          <w:sz w:val="32"/>
          <w:szCs w:val="32"/>
          <w:lang w:val="en-US" w:eastAsia="zh-CN"/>
        </w:rPr>
        <w:t>2020年</w:t>
      </w:r>
      <w:r>
        <w:rPr>
          <w:rFonts w:hint="eastAsia" w:ascii="仿宋" w:hAnsi="仿宋" w:eastAsia="仿宋" w:cs="仿宋_GB2312"/>
          <w:b/>
          <w:sz w:val="32"/>
          <w:szCs w:val="32"/>
        </w:rPr>
        <w:t>上年结转主要输水通道控制断面水量监测设施</w:t>
      </w:r>
    </w:p>
    <w:p>
      <w:pPr>
        <w:jc w:val="center"/>
        <w:rPr>
          <w:rFonts w:hint="eastAsia" w:ascii="仿宋" w:hAnsi="仿宋" w:eastAsia="仿宋" w:cs="华文中宋"/>
          <w:b/>
          <w:sz w:val="32"/>
          <w:szCs w:val="32"/>
        </w:rPr>
      </w:pPr>
      <w:r>
        <w:rPr>
          <w:rFonts w:hint="eastAsia" w:ascii="仿宋" w:hAnsi="仿宋" w:eastAsia="仿宋" w:cs="仿宋_GB2312"/>
          <w:b/>
          <w:sz w:val="32"/>
          <w:szCs w:val="32"/>
        </w:rPr>
        <w:t>建设工程项目</w:t>
      </w:r>
      <w:r>
        <w:rPr>
          <w:rFonts w:hint="eastAsia" w:ascii="仿宋" w:hAnsi="仿宋" w:eastAsia="仿宋" w:cs="华文中宋"/>
          <w:b/>
          <w:sz w:val="32"/>
          <w:szCs w:val="32"/>
        </w:rPr>
        <w:t>支出绩效自评报告</w:t>
      </w:r>
    </w:p>
    <w:p>
      <w:pPr>
        <w:numPr>
          <w:ilvl w:val="0"/>
          <w:numId w:val="7"/>
        </w:numPr>
        <w:rPr>
          <w:rFonts w:hint="eastAsia" w:ascii="仿宋" w:hAnsi="仿宋" w:eastAsia="仿宋" w:cs="华文中宋"/>
          <w:b/>
          <w:bCs/>
          <w:sz w:val="32"/>
          <w:szCs w:val="32"/>
        </w:rPr>
      </w:pPr>
      <w:r>
        <w:rPr>
          <w:rFonts w:hint="eastAsia" w:ascii="仿宋" w:hAnsi="仿宋" w:eastAsia="仿宋" w:cs="华文中宋"/>
          <w:b/>
          <w:bCs/>
          <w:sz w:val="32"/>
          <w:szCs w:val="32"/>
        </w:rPr>
        <w:t>项目概况</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rPr>
        <w:t>按照四川省水资源管理系统建设项目办公室于2019年07月25日发的川项目办函（2019）23号文“关于印发《四川省都江堰管理局主要输水通道控制断面流量保障实施方案专家审核意见》的通知”，我局于2019年08月09日上报了都局[2019]76号文“四川省都江堰管理局关于再次调增2019年预算的请示”，申请调增非财政资金项目支出预算297.5万元，项目科目为“2130306-水利工程运行与维护”，经济分类科目为“31099-其它资本性支出”。四川省水利厅于2019年10月31日下达川水函[2019]1321号文“四川省水利厅关于同意都江堰管理局调增2019年非财政拨款预算的批复”，同意该项目预算经费为297.50万元。</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rPr>
        <w:t>该项目为加强岷江流域水资源调度与管理，科学合理配置流域内生活、生态、生产用水量，改善岷江流域水生态环境质量，达到水利厅对岷江流域水量在线监测工作的要求，在都江堰供水区主要输水通道控制断面上建设水量在线监测设施，分别是：渠首外江泄洪闸后金马河河段、小罗堰泄洪闸、沙沟河进水闸、黑石河进水闸、岷江内江宝瓶口、蒲阳河进水闸、柏条河进水闸、走马河进水闸、江安河进水闸共9处监测断面为主要输水通道控制断面。建设完成后采集实时数据并按要求上传数据至四川省水资源监控系统。该项目拟在3个月内完成建设和数据上传。</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rPr>
        <w:t>根据《四川水利厅关于加快都江堰供水区主要输水通道控制断面水量在线监测设施建设的通知》要求，我局指定了上报了《四川省都江堰管理局主要输水通道控制断面流量保障实施方案》，并由四川省水资源管理系统建设项目办公室于2019年07月25日发的川项目办函（2019）23号文“关于印发《四川省都江堰管理局主要输水通道控制断面流量保障实施方案专家审核意见》的通知”，确认了方案的可行。</w:t>
      </w:r>
    </w:p>
    <w:p>
      <w:pPr>
        <w:numPr>
          <w:ilvl w:val="0"/>
          <w:numId w:val="7"/>
        </w:numPr>
        <w:rPr>
          <w:rFonts w:hint="eastAsia" w:ascii="仿宋" w:hAnsi="仿宋" w:eastAsia="仿宋" w:cs="华文中宋"/>
          <w:b/>
          <w:bCs/>
          <w:sz w:val="32"/>
          <w:szCs w:val="32"/>
        </w:rPr>
      </w:pPr>
      <w:r>
        <w:rPr>
          <w:rFonts w:hint="eastAsia" w:ascii="仿宋" w:hAnsi="仿宋" w:eastAsia="仿宋" w:cs="华文中宋"/>
          <w:b/>
          <w:bCs/>
          <w:sz w:val="32"/>
          <w:szCs w:val="32"/>
        </w:rPr>
        <w:t>项目实施及管理情况</w:t>
      </w:r>
    </w:p>
    <w:p>
      <w:pPr>
        <w:numPr>
          <w:ilvl w:val="0"/>
          <w:numId w:val="8"/>
        </w:numPr>
        <w:rPr>
          <w:rFonts w:hint="eastAsia" w:ascii="仿宋" w:hAnsi="仿宋" w:eastAsia="仿宋" w:cs="华文宋体"/>
          <w:b/>
          <w:bCs/>
          <w:i w:val="0"/>
          <w:iCs w:val="0"/>
          <w:sz w:val="32"/>
          <w:szCs w:val="32"/>
        </w:rPr>
      </w:pPr>
      <w:r>
        <w:rPr>
          <w:rFonts w:hint="eastAsia" w:ascii="仿宋" w:hAnsi="仿宋" w:eastAsia="仿宋" w:cs="华文宋体"/>
          <w:b/>
          <w:bCs/>
          <w:i w:val="0"/>
          <w:iCs w:val="0"/>
          <w:sz w:val="32"/>
          <w:szCs w:val="32"/>
        </w:rPr>
        <w:t>资金计划、到位及使用情况</w:t>
      </w:r>
    </w:p>
    <w:p>
      <w:pPr>
        <w:ind w:firstLine="640" w:firstLineChars="200"/>
        <w:rPr>
          <w:rFonts w:ascii="仿宋" w:hAnsi="仿宋" w:eastAsia="仿宋" w:cs="华文宋体"/>
          <w:sz w:val="32"/>
          <w:szCs w:val="32"/>
        </w:rPr>
      </w:pPr>
      <w:r>
        <w:rPr>
          <w:rFonts w:hint="eastAsia" w:ascii="仿宋" w:hAnsi="仿宋" w:eastAsia="仿宋" w:cs="华文宋体"/>
          <w:sz w:val="32"/>
          <w:szCs w:val="32"/>
        </w:rPr>
        <w:t>资金为我局自筹，申请预算资金和批复资金为297.50万元；按公开招投标选取施工单位后，合同金额为287.255万元。根据合同约定，现已分三次支付了合同总金额的95%，剩余5%待水文率定工作结束后支付。</w:t>
      </w:r>
    </w:p>
    <w:p>
      <w:pPr>
        <w:numPr>
          <w:ilvl w:val="0"/>
          <w:numId w:val="8"/>
        </w:numPr>
        <w:rPr>
          <w:rFonts w:hint="eastAsia" w:ascii="仿宋" w:hAnsi="仿宋" w:eastAsia="仿宋" w:cs="华文宋体"/>
          <w:b/>
          <w:bCs/>
          <w:i w:val="0"/>
          <w:iCs w:val="0"/>
          <w:color w:val="auto"/>
          <w:sz w:val="32"/>
          <w:szCs w:val="32"/>
        </w:rPr>
      </w:pPr>
      <w:r>
        <w:rPr>
          <w:rFonts w:hint="eastAsia" w:ascii="仿宋" w:hAnsi="仿宋" w:eastAsia="仿宋" w:cs="华文宋体"/>
          <w:b/>
          <w:bCs/>
          <w:i w:val="0"/>
          <w:iCs w:val="0"/>
          <w:color w:val="auto"/>
          <w:sz w:val="32"/>
          <w:szCs w:val="32"/>
        </w:rPr>
        <w:t>项目财务管理情况</w:t>
      </w:r>
    </w:p>
    <w:p>
      <w:pPr>
        <w:pStyle w:val="2"/>
        <w:ind w:firstLine="640" w:firstLineChars="200"/>
        <w:rPr>
          <w:rFonts w:hint="eastAsia" w:eastAsia="仿宋"/>
          <w:lang w:eastAsia="zh-CN"/>
        </w:rPr>
      </w:pPr>
      <w:r>
        <w:rPr>
          <w:rFonts w:hint="eastAsia" w:ascii="仿宋" w:hAnsi="仿宋" w:eastAsia="仿宋" w:cs="仿宋"/>
          <w:sz w:val="32"/>
          <w:szCs w:val="32"/>
        </w:rPr>
        <w:t>根据历年各级审计机关审计情况和绩效评价自查情况看，局属事业单位有比较健全的财务制度，内部控制制度正在逐步完善过程中。</w:t>
      </w:r>
      <w:r>
        <w:rPr>
          <w:rFonts w:hint="eastAsia" w:ascii="仿宋" w:hAnsi="仿宋" w:eastAsia="仿宋" w:cs="仿宋"/>
          <w:sz w:val="32"/>
          <w:szCs w:val="32"/>
          <w:lang w:val="en-US" w:eastAsia="zh-CN"/>
        </w:rPr>
        <w:t>该项目</w:t>
      </w:r>
      <w:r>
        <w:rPr>
          <w:rFonts w:hint="eastAsia" w:ascii="仿宋" w:hAnsi="仿宋" w:eastAsia="仿宋" w:cs="仿宋"/>
          <w:sz w:val="32"/>
          <w:szCs w:val="32"/>
        </w:rPr>
        <w:t>在会计核算方面严格遵照会计制度、财务管理办法进行核算，账目清晰、账实相符，会计资料规范、完整；项目资金的使用方面基本按照预算批复要求执行</w:t>
      </w:r>
      <w:r>
        <w:rPr>
          <w:rFonts w:hint="eastAsia" w:ascii="仿宋" w:hAnsi="仿宋" w:eastAsia="仿宋" w:cs="仿宋"/>
          <w:sz w:val="32"/>
          <w:szCs w:val="32"/>
          <w:lang w:eastAsia="zh-CN"/>
        </w:rPr>
        <w:t>。</w:t>
      </w:r>
    </w:p>
    <w:p>
      <w:pPr>
        <w:numPr>
          <w:ilvl w:val="0"/>
          <w:numId w:val="8"/>
        </w:numPr>
        <w:rPr>
          <w:rFonts w:ascii="仿宋" w:hAnsi="仿宋" w:eastAsia="仿宋" w:cs="华文宋体"/>
          <w:b/>
          <w:bCs/>
          <w:i w:val="0"/>
          <w:iCs w:val="0"/>
          <w:sz w:val="32"/>
          <w:szCs w:val="32"/>
        </w:rPr>
      </w:pPr>
      <w:r>
        <w:rPr>
          <w:rFonts w:hint="eastAsia" w:ascii="仿宋" w:hAnsi="仿宋" w:eastAsia="仿宋" w:cs="华文宋体"/>
          <w:b/>
          <w:bCs/>
          <w:i w:val="0"/>
          <w:iCs w:val="0"/>
          <w:sz w:val="32"/>
          <w:szCs w:val="32"/>
        </w:rPr>
        <w:t>项目组织实施情况</w:t>
      </w:r>
    </w:p>
    <w:p>
      <w:pPr>
        <w:spacing w:line="360" w:lineRule="auto"/>
        <w:ind w:firstLine="640" w:firstLineChars="200"/>
        <w:rPr>
          <w:rFonts w:ascii="仿宋" w:hAnsi="仿宋" w:eastAsia="仿宋" w:cs="华文宋体"/>
          <w:sz w:val="32"/>
          <w:szCs w:val="32"/>
        </w:rPr>
      </w:pPr>
      <w:r>
        <w:rPr>
          <w:rFonts w:hint="eastAsia" w:ascii="仿宋" w:hAnsi="仿宋" w:eastAsia="仿宋" w:cs="华文宋体"/>
          <w:sz w:val="32"/>
          <w:szCs w:val="32"/>
        </w:rPr>
        <w:t>项目启动后，按我局内部相关管理办法，并请示领导邀请了都江堰金堤水利水电建设监理公司全程参与该项施工监理工作。同时，施工方派出具有相关资质的人员组成实施组、培训组、服务组、管理组等全程跟进项目建设。</w:t>
      </w:r>
    </w:p>
    <w:p>
      <w:pPr>
        <w:spacing w:line="360" w:lineRule="auto"/>
        <w:ind w:firstLine="640" w:firstLineChars="200"/>
        <w:rPr>
          <w:rFonts w:hint="eastAsia" w:ascii="仿宋" w:hAnsi="仿宋" w:eastAsia="仿宋" w:cs="华文宋体"/>
          <w:sz w:val="32"/>
          <w:szCs w:val="32"/>
        </w:rPr>
      </w:pPr>
      <w:r>
        <w:rPr>
          <w:rFonts w:hint="eastAsia" w:ascii="仿宋" w:hAnsi="仿宋" w:eastAsia="仿宋" w:cs="华文宋体"/>
          <w:sz w:val="32"/>
          <w:szCs w:val="32"/>
        </w:rPr>
        <w:t xml:space="preserve">2020年3月25日~4月16日 项目启动，部分设备进场；外江闸后金马河控制断面开始建设、安装、调试； </w:t>
      </w:r>
    </w:p>
    <w:p>
      <w:pPr>
        <w:spacing w:line="360" w:lineRule="auto"/>
        <w:ind w:firstLine="640" w:firstLineChars="200"/>
        <w:rPr>
          <w:rFonts w:hint="eastAsia" w:ascii="仿宋" w:hAnsi="仿宋" w:eastAsia="仿宋" w:cs="华文宋体"/>
          <w:sz w:val="32"/>
          <w:szCs w:val="32"/>
        </w:rPr>
      </w:pPr>
      <w:r>
        <w:rPr>
          <w:rFonts w:hint="eastAsia" w:ascii="仿宋" w:hAnsi="仿宋" w:eastAsia="仿宋" w:cs="华文宋体"/>
          <w:sz w:val="32"/>
          <w:szCs w:val="32"/>
        </w:rPr>
        <w:t xml:space="preserve">2020年4月2日~4月28日 部分设备进场；小罗堰泄洪闸监测断面开始建设、安装、调试； </w:t>
      </w:r>
    </w:p>
    <w:p>
      <w:pPr>
        <w:spacing w:line="360" w:lineRule="auto"/>
        <w:ind w:firstLine="640" w:firstLineChars="200"/>
        <w:rPr>
          <w:rFonts w:hint="eastAsia" w:ascii="仿宋" w:hAnsi="仿宋" w:eastAsia="仿宋" w:cs="华文宋体"/>
          <w:sz w:val="32"/>
          <w:szCs w:val="32"/>
        </w:rPr>
      </w:pPr>
      <w:r>
        <w:rPr>
          <w:rFonts w:hint="eastAsia" w:ascii="仿宋" w:hAnsi="仿宋" w:eastAsia="仿宋" w:cs="华文宋体"/>
          <w:sz w:val="32"/>
          <w:szCs w:val="32"/>
        </w:rPr>
        <w:t xml:space="preserve">2020年4月12日~5月7日 部分设备进场；沙沟河、黑石河、蒲阳河、走马河、宝瓶口、柏条河、江安河监测断面开始建设、安装、调试； </w:t>
      </w:r>
    </w:p>
    <w:p>
      <w:pPr>
        <w:spacing w:line="360" w:lineRule="auto"/>
        <w:ind w:firstLine="640" w:firstLineChars="200"/>
        <w:rPr>
          <w:rFonts w:hint="eastAsia" w:ascii="仿宋" w:hAnsi="仿宋" w:eastAsia="仿宋"/>
          <w:sz w:val="32"/>
          <w:szCs w:val="32"/>
        </w:rPr>
      </w:pPr>
      <w:r>
        <w:rPr>
          <w:rFonts w:hint="eastAsia" w:ascii="仿宋" w:hAnsi="仿宋" w:eastAsia="仿宋" w:cs="华文宋体"/>
          <w:sz w:val="32"/>
          <w:szCs w:val="32"/>
        </w:rPr>
        <w:t>2020年5月6日~5月9日 外江闸后金马河控制断面和小罗堰泄洪闸监测断面开始水准点标志、断面测量、校对；</w:t>
      </w:r>
    </w:p>
    <w:p>
      <w:pPr>
        <w:spacing w:line="360" w:lineRule="auto"/>
        <w:ind w:firstLine="640" w:firstLineChars="200"/>
        <w:rPr>
          <w:rFonts w:hint="eastAsia" w:ascii="仿宋" w:hAnsi="仿宋" w:eastAsia="仿宋" w:cs="华文宋体"/>
          <w:sz w:val="32"/>
          <w:szCs w:val="32"/>
        </w:rPr>
      </w:pPr>
      <w:r>
        <w:rPr>
          <w:rFonts w:hint="eastAsia" w:ascii="仿宋" w:hAnsi="仿宋" w:eastAsia="仿宋" w:cs="华文宋体"/>
          <w:sz w:val="32"/>
          <w:szCs w:val="32"/>
        </w:rPr>
        <w:t>2020年5月10日~5月29日 部分设备进场；各站点视频设备安装、调试、校核。</w:t>
      </w:r>
    </w:p>
    <w:p>
      <w:pPr>
        <w:spacing w:line="360" w:lineRule="auto"/>
        <w:ind w:firstLine="640" w:firstLineChars="200"/>
        <w:rPr>
          <w:rFonts w:hint="eastAsia" w:ascii="仿宋" w:hAnsi="仿宋" w:eastAsia="仿宋" w:cs="华文宋体"/>
          <w:sz w:val="32"/>
          <w:szCs w:val="32"/>
        </w:rPr>
      </w:pPr>
      <w:r>
        <w:rPr>
          <w:rFonts w:hint="eastAsia" w:ascii="仿宋" w:hAnsi="仿宋" w:eastAsia="仿宋" w:cs="华文宋体"/>
          <w:sz w:val="32"/>
          <w:szCs w:val="32"/>
        </w:rPr>
        <w:t>2020年5月28日~5月31日 项目收尾工作。</w:t>
      </w:r>
    </w:p>
    <w:p>
      <w:pPr>
        <w:numPr>
          <w:ilvl w:val="0"/>
          <w:numId w:val="7"/>
        </w:numPr>
        <w:rPr>
          <w:rFonts w:hint="eastAsia" w:ascii="仿宋" w:hAnsi="仿宋" w:eastAsia="仿宋" w:cs="华文中宋"/>
          <w:b/>
          <w:bCs/>
          <w:sz w:val="32"/>
          <w:szCs w:val="32"/>
        </w:rPr>
      </w:pPr>
      <w:r>
        <w:rPr>
          <w:rFonts w:hint="eastAsia" w:ascii="仿宋" w:hAnsi="仿宋" w:eastAsia="仿宋" w:cs="华文中宋"/>
          <w:b/>
          <w:bCs/>
          <w:sz w:val="32"/>
          <w:szCs w:val="32"/>
        </w:rPr>
        <w:t>项目绩效情况</w:t>
      </w:r>
    </w:p>
    <w:p>
      <w:pPr>
        <w:numPr>
          <w:ilvl w:val="0"/>
          <w:numId w:val="9"/>
        </w:numPr>
        <w:rPr>
          <w:rFonts w:hint="eastAsia" w:ascii="仿宋" w:hAnsi="仿宋" w:eastAsia="仿宋" w:cs="华文宋体"/>
          <w:b/>
          <w:bCs/>
          <w:i w:val="0"/>
          <w:iCs w:val="0"/>
          <w:sz w:val="32"/>
          <w:szCs w:val="32"/>
        </w:rPr>
      </w:pPr>
      <w:r>
        <w:rPr>
          <w:rFonts w:hint="eastAsia" w:ascii="仿宋" w:hAnsi="仿宋" w:eastAsia="仿宋" w:cs="华文宋体"/>
          <w:b/>
          <w:bCs/>
          <w:i w:val="0"/>
          <w:iCs w:val="0"/>
          <w:sz w:val="32"/>
          <w:szCs w:val="32"/>
        </w:rPr>
        <w:t>项目完成情况</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u w:val="single"/>
        </w:rPr>
        <w:t>渠首外江泄洪闸后金马河监测断面</w:t>
      </w:r>
      <w:r>
        <w:rPr>
          <w:rFonts w:hint="eastAsia" w:ascii="仿宋" w:hAnsi="仿宋" w:eastAsia="仿宋" w:cs="华文宋体"/>
          <w:sz w:val="32"/>
          <w:szCs w:val="32"/>
        </w:rPr>
        <w:t>：已建设雷达波流速仪和轨道、双侧雷达水位计等设施，实现实时数据采集汇总，并按厅要求每5分钟一次上传至四川省水资源监控系统，数据的率定还在按相关水文规范进行分析。同时调度中严格按照最小下泄流量20m</w:t>
      </w:r>
      <w:r>
        <w:rPr>
          <w:rFonts w:hint="eastAsia" w:ascii="仿宋" w:hAnsi="仿宋" w:eastAsia="仿宋" w:cs="华文宋体"/>
          <w:sz w:val="32"/>
          <w:szCs w:val="32"/>
          <w:vertAlign w:val="superscript"/>
        </w:rPr>
        <w:t>3</w:t>
      </w:r>
      <w:r>
        <w:rPr>
          <w:rFonts w:hint="eastAsia" w:ascii="仿宋" w:hAnsi="仿宋" w:eastAsia="仿宋" w:cs="华文宋体"/>
          <w:sz w:val="32"/>
          <w:szCs w:val="32"/>
        </w:rPr>
        <w:t>/s满足需求。</w:t>
      </w:r>
    </w:p>
    <w:p>
      <w:pPr>
        <w:ind w:firstLine="640" w:firstLineChars="200"/>
        <w:rPr>
          <w:rFonts w:hint="eastAsia" w:ascii="仿宋" w:hAnsi="仿宋" w:eastAsia="仿宋" w:cs="华文宋体"/>
          <w:sz w:val="32"/>
          <w:szCs w:val="32"/>
        </w:rPr>
      </w:pPr>
      <w:r>
        <w:rPr>
          <w:rFonts w:ascii="仿宋" w:hAnsi="仿宋" w:eastAsia="仿宋" w:cs="华文宋体"/>
          <w:sz w:val="32"/>
          <w:szCs w:val="32"/>
          <w:u w:val="single"/>
        </w:rPr>
        <w:t>小罗堰泄洪闸监测断面</w:t>
      </w:r>
      <w:r>
        <w:rPr>
          <w:rFonts w:hint="eastAsia" w:ascii="仿宋" w:hAnsi="仿宋" w:eastAsia="仿宋" w:cs="华文宋体"/>
          <w:sz w:val="32"/>
          <w:szCs w:val="32"/>
        </w:rPr>
        <w:t>：已建设遥测终端机和雷达水位计等设施，实现实时数据采集汇总，并按厅要求每5分钟一次上传至厅监控平台，数据的率定还在按相关水文规范进行分析。该站没有具体生态流量要求，但排水直接进入金马河段。</w:t>
      </w:r>
    </w:p>
    <w:p>
      <w:pPr>
        <w:ind w:firstLine="640" w:firstLineChars="200"/>
        <w:rPr>
          <w:rFonts w:hint="eastAsia" w:ascii="仿宋" w:hAnsi="仿宋" w:eastAsia="仿宋" w:cs="华文宋体"/>
          <w:sz w:val="32"/>
          <w:szCs w:val="32"/>
        </w:rPr>
      </w:pPr>
      <w:r>
        <w:rPr>
          <w:rFonts w:ascii="仿宋" w:hAnsi="仿宋" w:eastAsia="仿宋" w:cs="华文宋体"/>
          <w:sz w:val="32"/>
          <w:szCs w:val="32"/>
          <w:u w:val="single"/>
        </w:rPr>
        <w:t>沙沟河进水闸监测断面</w:t>
      </w:r>
      <w:r>
        <w:rPr>
          <w:rFonts w:hint="eastAsia" w:ascii="仿宋" w:hAnsi="仿宋" w:eastAsia="仿宋" w:cs="华文宋体"/>
          <w:sz w:val="32"/>
          <w:szCs w:val="32"/>
        </w:rPr>
        <w:t>：已完成数据收集汇总，数据套用已有水位流量关系线已校核确定。同时调度中严格按照最小下泄流量5m</w:t>
      </w:r>
      <w:r>
        <w:rPr>
          <w:rFonts w:hint="eastAsia" w:ascii="仿宋" w:hAnsi="仿宋" w:eastAsia="仿宋" w:cs="华文宋体"/>
          <w:sz w:val="32"/>
          <w:szCs w:val="32"/>
          <w:vertAlign w:val="superscript"/>
        </w:rPr>
        <w:t>3</w:t>
      </w:r>
      <w:r>
        <w:rPr>
          <w:rFonts w:hint="eastAsia" w:ascii="仿宋" w:hAnsi="仿宋" w:eastAsia="仿宋" w:cs="华文宋体"/>
          <w:sz w:val="32"/>
          <w:szCs w:val="32"/>
        </w:rPr>
        <w:t>/s满足需求。</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u w:val="single"/>
        </w:rPr>
        <w:t>黑石</w:t>
      </w:r>
      <w:r>
        <w:rPr>
          <w:rFonts w:ascii="仿宋" w:hAnsi="仿宋" w:eastAsia="仿宋" w:cs="华文宋体"/>
          <w:sz w:val="32"/>
          <w:szCs w:val="32"/>
          <w:u w:val="single"/>
        </w:rPr>
        <w:t>河进水闸监测断面</w:t>
      </w:r>
      <w:r>
        <w:rPr>
          <w:rFonts w:hint="eastAsia" w:ascii="仿宋" w:hAnsi="仿宋" w:eastAsia="仿宋" w:cs="华文宋体"/>
          <w:sz w:val="32"/>
          <w:szCs w:val="32"/>
        </w:rPr>
        <w:t>：已完成数据收集汇总，数据套用已有水位流量关系线已校核确定。同时调度中严格按照最小下泄流量5m</w:t>
      </w:r>
      <w:r>
        <w:rPr>
          <w:rFonts w:hint="eastAsia" w:ascii="仿宋" w:hAnsi="仿宋" w:eastAsia="仿宋" w:cs="华文宋体"/>
          <w:sz w:val="32"/>
          <w:szCs w:val="32"/>
          <w:vertAlign w:val="superscript"/>
        </w:rPr>
        <w:t>3</w:t>
      </w:r>
      <w:r>
        <w:rPr>
          <w:rFonts w:hint="eastAsia" w:ascii="仿宋" w:hAnsi="仿宋" w:eastAsia="仿宋" w:cs="华文宋体"/>
          <w:sz w:val="32"/>
          <w:szCs w:val="32"/>
        </w:rPr>
        <w:t>/s满足需求。</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u w:val="single"/>
        </w:rPr>
        <w:t>岷江内江宝瓶口</w:t>
      </w:r>
      <w:r>
        <w:rPr>
          <w:rFonts w:ascii="仿宋" w:hAnsi="仿宋" w:eastAsia="仿宋" w:cs="华文宋体"/>
          <w:sz w:val="32"/>
          <w:szCs w:val="32"/>
          <w:u w:val="single"/>
        </w:rPr>
        <w:t>监测断面</w:t>
      </w:r>
      <w:r>
        <w:rPr>
          <w:rFonts w:hint="eastAsia" w:ascii="仿宋" w:hAnsi="仿宋" w:eastAsia="仿宋" w:cs="华文宋体"/>
          <w:sz w:val="32"/>
          <w:szCs w:val="32"/>
        </w:rPr>
        <w:t>：已完成数据收集汇总，数据套用已有水位流量关系线已校核确定。同时调度中严格按照最小下泄流量30m</w:t>
      </w:r>
      <w:r>
        <w:rPr>
          <w:rFonts w:hint="eastAsia" w:ascii="仿宋" w:hAnsi="仿宋" w:eastAsia="仿宋" w:cs="华文宋体"/>
          <w:sz w:val="32"/>
          <w:szCs w:val="32"/>
          <w:vertAlign w:val="superscript"/>
        </w:rPr>
        <w:t>3</w:t>
      </w:r>
      <w:r>
        <w:rPr>
          <w:rFonts w:hint="eastAsia" w:ascii="仿宋" w:hAnsi="仿宋" w:eastAsia="仿宋" w:cs="华文宋体"/>
          <w:sz w:val="32"/>
          <w:szCs w:val="32"/>
        </w:rPr>
        <w:t>/s满足需求。</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u w:val="single"/>
        </w:rPr>
        <w:t>蒲阳河</w:t>
      </w:r>
      <w:r>
        <w:rPr>
          <w:rFonts w:ascii="仿宋" w:hAnsi="仿宋" w:eastAsia="仿宋" w:cs="华文宋体"/>
          <w:sz w:val="32"/>
          <w:szCs w:val="32"/>
          <w:u w:val="single"/>
        </w:rPr>
        <w:t>进水闸监测断面</w:t>
      </w:r>
      <w:r>
        <w:rPr>
          <w:rFonts w:hint="eastAsia" w:ascii="仿宋" w:hAnsi="仿宋" w:eastAsia="仿宋" w:cs="华文宋体"/>
          <w:sz w:val="32"/>
          <w:szCs w:val="32"/>
        </w:rPr>
        <w:t>：已完成数据收集汇总，数据套用已有水位流量关系线已校核确定。同时调度中严格按照最小下泄流量5m</w:t>
      </w:r>
      <w:r>
        <w:rPr>
          <w:rFonts w:hint="eastAsia" w:ascii="仿宋" w:hAnsi="仿宋" w:eastAsia="仿宋" w:cs="华文宋体"/>
          <w:sz w:val="32"/>
          <w:szCs w:val="32"/>
          <w:vertAlign w:val="superscript"/>
        </w:rPr>
        <w:t>3</w:t>
      </w:r>
      <w:r>
        <w:rPr>
          <w:rFonts w:hint="eastAsia" w:ascii="仿宋" w:hAnsi="仿宋" w:eastAsia="仿宋" w:cs="华文宋体"/>
          <w:sz w:val="32"/>
          <w:szCs w:val="32"/>
        </w:rPr>
        <w:t>/s满足需求。</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u w:val="single"/>
        </w:rPr>
        <w:t>柏条</w:t>
      </w:r>
      <w:r>
        <w:rPr>
          <w:rFonts w:ascii="仿宋" w:hAnsi="仿宋" w:eastAsia="仿宋" w:cs="华文宋体"/>
          <w:sz w:val="32"/>
          <w:szCs w:val="32"/>
          <w:u w:val="single"/>
        </w:rPr>
        <w:t>河进水闸监测断面</w:t>
      </w:r>
      <w:r>
        <w:rPr>
          <w:rFonts w:hint="eastAsia" w:ascii="仿宋" w:hAnsi="仿宋" w:eastAsia="仿宋" w:cs="华文宋体"/>
          <w:sz w:val="32"/>
          <w:szCs w:val="32"/>
        </w:rPr>
        <w:t>：已完成数据收集汇总，数据套用已有水位流量关系线已校核确定。同时调度中严格按照最小下泄流量5m</w:t>
      </w:r>
      <w:r>
        <w:rPr>
          <w:rFonts w:hint="eastAsia" w:ascii="仿宋" w:hAnsi="仿宋" w:eastAsia="仿宋" w:cs="华文宋体"/>
          <w:sz w:val="32"/>
          <w:szCs w:val="32"/>
          <w:vertAlign w:val="superscript"/>
        </w:rPr>
        <w:t>3</w:t>
      </w:r>
      <w:r>
        <w:rPr>
          <w:rFonts w:hint="eastAsia" w:ascii="仿宋" w:hAnsi="仿宋" w:eastAsia="仿宋" w:cs="华文宋体"/>
          <w:sz w:val="32"/>
          <w:szCs w:val="32"/>
        </w:rPr>
        <w:t>/s满足需求。</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u w:val="single"/>
        </w:rPr>
        <w:t>走马</w:t>
      </w:r>
      <w:r>
        <w:rPr>
          <w:rFonts w:ascii="仿宋" w:hAnsi="仿宋" w:eastAsia="仿宋" w:cs="华文宋体"/>
          <w:sz w:val="32"/>
          <w:szCs w:val="32"/>
          <w:u w:val="single"/>
        </w:rPr>
        <w:t>河进水闸监测断面</w:t>
      </w:r>
      <w:r>
        <w:rPr>
          <w:rFonts w:hint="eastAsia" w:ascii="仿宋" w:hAnsi="仿宋" w:eastAsia="仿宋" w:cs="华文宋体"/>
          <w:sz w:val="32"/>
          <w:szCs w:val="32"/>
        </w:rPr>
        <w:t>：已完成数据收集汇总，数据套用已有水位流量关系线已校核确定。同时调度中严格按照最小下泄流量5m</w:t>
      </w:r>
      <w:r>
        <w:rPr>
          <w:rFonts w:hint="eastAsia" w:ascii="仿宋" w:hAnsi="仿宋" w:eastAsia="仿宋" w:cs="华文宋体"/>
          <w:sz w:val="32"/>
          <w:szCs w:val="32"/>
          <w:vertAlign w:val="superscript"/>
        </w:rPr>
        <w:t>3</w:t>
      </w:r>
      <w:r>
        <w:rPr>
          <w:rFonts w:hint="eastAsia" w:ascii="仿宋" w:hAnsi="仿宋" w:eastAsia="仿宋" w:cs="华文宋体"/>
          <w:sz w:val="32"/>
          <w:szCs w:val="32"/>
        </w:rPr>
        <w:t>/s满足需求。</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u w:val="single"/>
        </w:rPr>
        <w:t>江安</w:t>
      </w:r>
      <w:r>
        <w:rPr>
          <w:rFonts w:ascii="仿宋" w:hAnsi="仿宋" w:eastAsia="仿宋" w:cs="华文宋体"/>
          <w:sz w:val="32"/>
          <w:szCs w:val="32"/>
          <w:u w:val="single"/>
        </w:rPr>
        <w:t>河进水闸监测断面</w:t>
      </w:r>
      <w:r>
        <w:rPr>
          <w:rFonts w:hint="eastAsia" w:ascii="仿宋" w:hAnsi="仿宋" w:eastAsia="仿宋" w:cs="华文宋体"/>
          <w:sz w:val="32"/>
          <w:szCs w:val="32"/>
        </w:rPr>
        <w:t>：已完成数据收集汇总，数据套用已有水位流量关系线已校核确定。同时调度中严格按照最小下泄流量5m</w:t>
      </w:r>
      <w:r>
        <w:rPr>
          <w:rFonts w:hint="eastAsia" w:ascii="仿宋" w:hAnsi="仿宋" w:eastAsia="仿宋" w:cs="华文宋体"/>
          <w:sz w:val="32"/>
          <w:szCs w:val="32"/>
          <w:vertAlign w:val="superscript"/>
        </w:rPr>
        <w:t>3</w:t>
      </w:r>
      <w:r>
        <w:rPr>
          <w:rFonts w:hint="eastAsia" w:ascii="仿宋" w:hAnsi="仿宋" w:eastAsia="仿宋" w:cs="华文宋体"/>
          <w:sz w:val="32"/>
          <w:szCs w:val="32"/>
        </w:rPr>
        <w:t>/s满足需求。</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rPr>
        <w:t>该项目采购建设由于2020年初爆发的新冠疫情延迟3个月启动，于2020年3月开始，至2020年06月调试接入，除开按水文规范应率定校核的外江闸后金马河监测断面和小罗堰泄洪闸监测断面外（该项率定工作需要经过1~2年高水期、中水期、低水期），其它硬件采购、安装调试、软件接入均已完成。经监理、业主、设计等验收基本合格。预算经费为297.50万元，经公开招标，确定金额为287.255万元。</w:t>
      </w:r>
    </w:p>
    <w:p>
      <w:pPr>
        <w:numPr>
          <w:ilvl w:val="0"/>
          <w:numId w:val="9"/>
        </w:numPr>
        <w:rPr>
          <w:rFonts w:hint="eastAsia" w:ascii="仿宋" w:hAnsi="仿宋" w:eastAsia="仿宋" w:cs="华文宋体"/>
          <w:b/>
          <w:bCs/>
          <w:i w:val="0"/>
          <w:iCs w:val="0"/>
          <w:sz w:val="32"/>
          <w:szCs w:val="32"/>
        </w:rPr>
      </w:pPr>
      <w:r>
        <w:rPr>
          <w:rFonts w:hint="eastAsia" w:ascii="仿宋" w:hAnsi="仿宋" w:eastAsia="仿宋" w:cs="华文宋体"/>
          <w:b/>
          <w:bCs/>
          <w:i w:val="0"/>
          <w:iCs w:val="0"/>
          <w:sz w:val="32"/>
          <w:szCs w:val="32"/>
        </w:rPr>
        <w:t>项目效益情况</w:t>
      </w:r>
    </w:p>
    <w:p>
      <w:pPr>
        <w:ind w:firstLine="640" w:firstLineChars="200"/>
        <w:rPr>
          <w:rFonts w:hint="eastAsia" w:ascii="仿宋" w:hAnsi="仿宋" w:eastAsia="仿宋" w:cs="华文宋体"/>
          <w:sz w:val="32"/>
          <w:szCs w:val="32"/>
        </w:rPr>
      </w:pPr>
      <w:r>
        <w:rPr>
          <w:rFonts w:hint="eastAsia" w:ascii="仿宋" w:hAnsi="仿宋" w:eastAsia="仿宋" w:cs="华文宋体"/>
          <w:sz w:val="32"/>
          <w:szCs w:val="32"/>
        </w:rPr>
        <w:t>该项目主要保障科学合理配置流域内生活、生态、生产用水量，改善岷江流域水生态环境质量，加强岷江流域水资源调度与管理。以上断面建设后引入上级主管部门的系统平台，满足了主要输水通道控制断面水量在线监测的需求。</w:t>
      </w:r>
    </w:p>
    <w:p>
      <w:pPr>
        <w:ind w:firstLine="643" w:firstLineChars="200"/>
        <w:rPr>
          <w:rFonts w:hint="eastAsia" w:ascii="仿宋" w:hAnsi="仿宋" w:eastAsia="仿宋"/>
          <w:b/>
          <w:color w:val="000000"/>
          <w:sz w:val="32"/>
          <w:szCs w:val="32"/>
        </w:rPr>
      </w:pPr>
    </w:p>
    <w:p>
      <w:pPr>
        <w:pStyle w:val="2"/>
        <w:rPr>
          <w:rFonts w:hint="eastAsia" w:ascii="仿宋" w:hAnsi="仿宋" w:eastAsia="仿宋"/>
          <w:b/>
          <w:color w:val="000000"/>
          <w:sz w:val="32"/>
          <w:szCs w:val="32"/>
        </w:rPr>
      </w:pPr>
    </w:p>
    <w:p>
      <w:pPr>
        <w:pStyle w:val="2"/>
        <w:rPr>
          <w:rFonts w:hint="eastAsia" w:ascii="仿宋" w:hAnsi="仿宋" w:eastAsia="仿宋"/>
          <w:b/>
          <w:color w:val="000000"/>
          <w:sz w:val="32"/>
          <w:szCs w:val="32"/>
        </w:rPr>
      </w:pPr>
    </w:p>
    <w:p>
      <w:pPr>
        <w:pStyle w:val="2"/>
        <w:rPr>
          <w:rFonts w:hint="eastAsia" w:ascii="仿宋" w:hAnsi="仿宋" w:eastAsia="仿宋"/>
          <w:b/>
          <w:color w:val="000000"/>
          <w:sz w:val="32"/>
          <w:szCs w:val="32"/>
        </w:rPr>
      </w:pPr>
    </w:p>
    <w:p>
      <w:pPr>
        <w:pStyle w:val="2"/>
        <w:rPr>
          <w:rFonts w:hint="eastAsia" w:ascii="仿宋" w:hAnsi="仿宋" w:eastAsia="仿宋"/>
          <w:b/>
          <w:color w:val="000000"/>
          <w:sz w:val="32"/>
          <w:szCs w:val="32"/>
        </w:rPr>
      </w:pPr>
    </w:p>
    <w:p>
      <w:pPr>
        <w:pStyle w:val="2"/>
        <w:rPr>
          <w:rFonts w:hint="eastAsia" w:ascii="仿宋" w:hAnsi="仿宋" w:eastAsia="仿宋"/>
          <w:b/>
          <w:color w:val="000000"/>
          <w:sz w:val="32"/>
          <w:szCs w:val="32"/>
        </w:rPr>
      </w:pPr>
    </w:p>
    <w:p>
      <w:pPr>
        <w:rPr>
          <w:rFonts w:hint="eastAsia" w:ascii="仿宋" w:hAnsi="仿宋" w:eastAsia="仿宋"/>
          <w:b/>
          <w:color w:val="000000"/>
          <w:sz w:val="32"/>
          <w:szCs w:val="32"/>
        </w:rPr>
      </w:pPr>
    </w:p>
    <w:p>
      <w:pPr>
        <w:pStyle w:val="11"/>
        <w:rPr>
          <w:rFonts w:hint="eastAsia" w:ascii="仿宋" w:hAnsi="仿宋" w:eastAsia="仿宋"/>
          <w:b/>
          <w:color w:val="000000"/>
          <w:sz w:val="32"/>
          <w:szCs w:val="32"/>
        </w:rPr>
      </w:pPr>
    </w:p>
    <w:p>
      <w:pPr>
        <w:rPr>
          <w:rFonts w:hint="eastAsia" w:ascii="仿宋" w:hAnsi="仿宋" w:eastAsia="仿宋"/>
          <w:b/>
          <w:color w:val="000000"/>
          <w:sz w:val="32"/>
          <w:szCs w:val="32"/>
        </w:rPr>
      </w:pPr>
    </w:p>
    <w:p>
      <w:pPr>
        <w:pStyle w:val="11"/>
        <w:rPr>
          <w:rFonts w:hint="eastAsia" w:ascii="仿宋" w:hAnsi="仿宋" w:eastAsia="仿宋"/>
          <w:b/>
          <w:color w:val="000000"/>
          <w:sz w:val="32"/>
          <w:szCs w:val="32"/>
        </w:rPr>
      </w:pPr>
    </w:p>
    <w:p>
      <w:pPr>
        <w:rPr>
          <w:rFonts w:hint="eastAsia" w:ascii="仿宋" w:hAnsi="仿宋" w:eastAsia="仿宋"/>
          <w:b/>
          <w:color w:val="000000"/>
          <w:sz w:val="32"/>
          <w:szCs w:val="32"/>
        </w:rPr>
      </w:pPr>
    </w:p>
    <w:p>
      <w:pPr>
        <w:pStyle w:val="11"/>
        <w:rPr>
          <w:rFonts w:hint="eastAsia" w:ascii="仿宋" w:hAnsi="仿宋" w:eastAsia="仿宋"/>
          <w:b/>
          <w:color w:val="000000"/>
          <w:sz w:val="32"/>
          <w:szCs w:val="32"/>
        </w:rPr>
      </w:pPr>
    </w:p>
    <w:p>
      <w:pPr>
        <w:rPr>
          <w:rFonts w:hint="eastAsia"/>
        </w:rPr>
      </w:pPr>
    </w:p>
    <w:p>
      <w:pPr>
        <w:spacing w:line="600" w:lineRule="exact"/>
        <w:jc w:val="both"/>
        <w:outlineLvl w:val="0"/>
        <w:rPr>
          <w:rFonts w:hint="eastAsia" w:ascii="黑体" w:hAnsi="黑体" w:eastAsia="黑体"/>
          <w:color w:val="000000"/>
          <w:sz w:val="44"/>
          <w:szCs w:val="44"/>
        </w:rPr>
      </w:pPr>
      <w:bookmarkStart w:id="51" w:name="_Toc15377226"/>
    </w:p>
    <w:p>
      <w:pPr>
        <w:pStyle w:val="2"/>
        <w:rPr>
          <w:rFonts w:hint="eastAsia"/>
        </w:rPr>
      </w:pPr>
    </w:p>
    <w:bookmarkEnd w:id="51"/>
    <w:p>
      <w:pPr>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黑体" w:hAnsi="黑体" w:eastAsia="黑体"/>
          <w:color w:val="000000"/>
          <w:sz w:val="44"/>
          <w:szCs w:val="44"/>
          <w:lang w:val="en-US" w:eastAsia="zh-CN"/>
        </w:rPr>
      </w:pPr>
      <w:r>
        <w:rPr>
          <w:rFonts w:hint="eastAsia" w:ascii="黑体" w:hAnsi="黑体" w:eastAsia="黑体"/>
          <w:color w:val="000000"/>
          <w:sz w:val="44"/>
          <w:szCs w:val="44"/>
          <w:lang w:val="en-US" w:eastAsia="zh-CN"/>
        </w:rPr>
        <w:t>第五部份 附表</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一、收入支出决算总表............................57</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二、收入决算表..................................58</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三、支出决算表..................................59</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四、财政拨款收入支出决算总表....................60</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五、财政拨款支出决算明细表......................61</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六、一般公共预算财政拨款支出决算表..............62</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七、一般公共预算财政拨款支出决算明细表..........63</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八、一般公共预算财政拨款基本支出决算表..........76</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九、一般公共预算财政拨款项目支出决算表..........77</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十、一般公共预算财政拨款“三公”经费支出决算表..78</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十一、政府性基金预算财政拨款收入支出决算表......79</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十二、政府性基金预算财政拨款“三公”经费支出决算表80</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十三、国有资本经营预算财政拨款收入支出决算表....81</w:t>
      </w:r>
    </w:p>
    <w:p>
      <w:pPr>
        <w:pageBreakBefore w:val="0"/>
        <w:widowControl w:val="0"/>
        <w:tabs>
          <w:tab w:val="left" w:pos="7350"/>
          <w:tab w:val="left" w:pos="7980"/>
          <w:tab w:val="left" w:leader="dot" w:pos="8190"/>
          <w:tab w:val="left" w:leader="dot" w:pos="8820"/>
        </w:tabs>
        <w:kinsoku/>
        <w:wordWrap/>
        <w:overflowPunct/>
        <w:topLinePunct w:val="0"/>
        <w:autoSpaceDE/>
        <w:autoSpaceDN/>
        <w:bidi w:val="0"/>
        <w:adjustRightInd/>
        <w:snapToGrid/>
        <w:spacing w:line="600" w:lineRule="exact"/>
        <w:jc w:val="both"/>
        <w:textAlignment w:val="auto"/>
        <w:outlineLvl w:val="1"/>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十四、国有资本经营预算财政拨款支出决算表........82</w:t>
      </w:r>
    </w:p>
    <w:p>
      <w:pPr>
        <w:pStyle w:val="2"/>
        <w:tabs>
          <w:tab w:val="left" w:pos="7350"/>
          <w:tab w:val="left" w:leader="middleDot" w:pos="8190"/>
        </w:tabs>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sectPr>
          <w:footerReference r:id="rId5" w:type="first"/>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r>
        <w:rPr>
          <w:rFonts w:hint="eastAsia" w:ascii="仿宋" w:hAnsi="仿宋" w:eastAsia="仿宋" w:cs="仿宋"/>
          <w:color w:val="000000"/>
          <w:sz w:val="32"/>
          <w:szCs w:val="32"/>
          <w:lang w:val="en-US" w:eastAsia="zh-CN"/>
        </w:rPr>
        <w:t xml:space="preserve">                                                    </w:t>
      </w:r>
    </w:p>
    <w:p>
      <w:pPr>
        <w:pStyle w:val="2"/>
        <w:rPr>
          <w:rFonts w:hint="default" w:ascii="仿宋" w:hAnsi="仿宋" w:eastAsia="仿宋" w:cs="仿宋"/>
          <w:color w:val="000000"/>
          <w:sz w:val="32"/>
          <w:szCs w:val="32"/>
          <w:lang w:val="en-US" w:eastAsia="zh-CN"/>
        </w:rPr>
      </w:pPr>
      <w:r>
        <w:drawing>
          <wp:anchor distT="0" distB="0" distL="114300" distR="114300" simplePos="0" relativeHeight="251665408" behindDoc="0" locked="0" layoutInCell="1" allowOverlap="1">
            <wp:simplePos x="0" y="0"/>
            <wp:positionH relativeFrom="column">
              <wp:posOffset>152400</wp:posOffset>
            </wp:positionH>
            <wp:positionV relativeFrom="paragraph">
              <wp:posOffset>-1074420</wp:posOffset>
            </wp:positionV>
            <wp:extent cx="8056245" cy="5930900"/>
            <wp:effectExtent l="0" t="0" r="5715" b="1270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8056245" cy="5930900"/>
                    </a:xfrm>
                    <a:prstGeom prst="rect">
                      <a:avLst/>
                    </a:prstGeom>
                    <a:noFill/>
                    <a:ln>
                      <a:noFill/>
                    </a:ln>
                  </pic:spPr>
                </pic:pic>
              </a:graphicData>
            </a:graphic>
          </wp:anchor>
        </w:drawing>
      </w:r>
      <w:r>
        <w:rPr>
          <w:rFonts w:hint="eastAsia" w:ascii="仿宋" w:hAnsi="仿宋" w:eastAsia="仿宋" w:cs="仿宋"/>
          <w:color w:val="000000"/>
          <w:sz w:val="32"/>
          <w:szCs w:val="32"/>
          <w:lang w:val="en-US" w:eastAsia="zh-CN"/>
        </w:rPr>
        <w:t xml:space="preserve">      </w:t>
      </w: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w:t>
      </w: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p>
    <w:p>
      <w:pPr>
        <w:pStyle w:val="2"/>
        <w:rPr>
          <w:rFonts w:hint="eastAsia" w:ascii="仿宋" w:hAnsi="仿宋" w:eastAsia="仿宋" w:cs="仿宋"/>
          <w:color w:val="000000"/>
          <w:sz w:val="32"/>
          <w:szCs w:val="32"/>
          <w:lang w:val="en-US" w:eastAsia="zh-CN"/>
        </w:rPr>
      </w:pPr>
    </w:p>
    <w:p>
      <w:pPr>
        <w:pStyle w:val="2"/>
      </w:pPr>
      <w:r>
        <w:drawing>
          <wp:inline distT="0" distB="0" distL="114300" distR="114300">
            <wp:extent cx="8858250" cy="3891915"/>
            <wp:effectExtent l="0" t="0" r="1143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8858250" cy="3891915"/>
                    </a:xfrm>
                    <a:prstGeom prst="rect">
                      <a:avLst/>
                    </a:prstGeom>
                    <a:noFill/>
                    <a:ln>
                      <a:noFill/>
                    </a:ln>
                  </pic:spPr>
                </pic:pic>
              </a:graphicData>
            </a:graphic>
          </wp:inline>
        </w:drawing>
      </w:r>
    </w:p>
    <w:p>
      <w:pPr>
        <w:pStyle w:val="2"/>
      </w:pPr>
    </w:p>
    <w:p>
      <w:pPr>
        <w:pStyle w:val="2"/>
      </w:pPr>
    </w:p>
    <w:p>
      <w:pPr>
        <w:pStyle w:val="2"/>
      </w:pPr>
    </w:p>
    <w:p>
      <w:pPr>
        <w:pStyle w:val="2"/>
      </w:pPr>
      <w:r>
        <w:drawing>
          <wp:inline distT="0" distB="0" distL="114300" distR="114300">
            <wp:extent cx="8861425" cy="4140835"/>
            <wp:effectExtent l="0" t="0" r="8255"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8861425" cy="4140835"/>
                    </a:xfrm>
                    <a:prstGeom prst="rect">
                      <a:avLst/>
                    </a:prstGeom>
                    <a:noFill/>
                    <a:ln>
                      <a:noFill/>
                    </a:ln>
                  </pic:spPr>
                </pic:pic>
              </a:graphicData>
            </a:graphic>
          </wp:inline>
        </w:drawing>
      </w:r>
    </w:p>
    <w:p>
      <w:pPr>
        <w:pStyle w:val="2"/>
      </w:pPr>
    </w:p>
    <w:p>
      <w:pPr>
        <w:pStyle w:val="2"/>
      </w:pPr>
    </w:p>
    <w:p>
      <w:pPr>
        <w:pStyle w:val="2"/>
        <w:sectPr>
          <w:footerReference r:id="rId7" w:type="first"/>
          <w:footerReference r:id="rId6"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57"/>
          <w:cols w:space="425" w:num="1"/>
          <w:titlePg/>
          <w:docGrid w:type="lines" w:linePitch="312" w:charSpace="0"/>
        </w:sectPr>
      </w:pPr>
      <w:r>
        <w:drawing>
          <wp:anchor distT="0" distB="0" distL="114300" distR="114300" simplePos="0" relativeHeight="251666432" behindDoc="0" locked="0" layoutInCell="1" allowOverlap="1">
            <wp:simplePos x="0" y="0"/>
            <wp:positionH relativeFrom="column">
              <wp:posOffset>-205740</wp:posOffset>
            </wp:positionH>
            <wp:positionV relativeFrom="paragraph">
              <wp:posOffset>-617220</wp:posOffset>
            </wp:positionV>
            <wp:extent cx="8968740" cy="5875020"/>
            <wp:effectExtent l="0" t="0" r="7620" b="7620"/>
            <wp:wrapSquare wrapText="bothSides"/>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tretch>
                      <a:fillRect/>
                    </a:stretch>
                  </pic:blipFill>
                  <pic:spPr>
                    <a:xfrm>
                      <a:off x="0" y="0"/>
                      <a:ext cx="8968740" cy="5875020"/>
                    </a:xfrm>
                    <a:prstGeom prst="rect">
                      <a:avLst/>
                    </a:prstGeom>
                    <a:noFill/>
                    <a:ln>
                      <a:noFill/>
                    </a:ln>
                  </pic:spPr>
                </pic:pic>
              </a:graphicData>
            </a:graphic>
          </wp:anchor>
        </w:drawing>
      </w:r>
    </w:p>
    <w:p>
      <w:pPr>
        <w:pStyle w:val="2"/>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r>
        <w:drawing>
          <wp:anchor distT="0" distB="0" distL="114300" distR="114300" simplePos="0" relativeHeight="251667456" behindDoc="0" locked="0" layoutInCell="1" allowOverlap="1">
            <wp:simplePos x="0" y="0"/>
            <wp:positionH relativeFrom="column">
              <wp:posOffset>-897890</wp:posOffset>
            </wp:positionH>
            <wp:positionV relativeFrom="paragraph">
              <wp:posOffset>-830580</wp:posOffset>
            </wp:positionV>
            <wp:extent cx="7004050" cy="9886950"/>
            <wp:effectExtent l="0" t="0" r="6350" b="3810"/>
            <wp:wrapSquare wrapText="bothSides"/>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9"/>
                    <a:stretch>
                      <a:fillRect/>
                    </a:stretch>
                  </pic:blipFill>
                  <pic:spPr>
                    <a:xfrm>
                      <a:off x="0" y="0"/>
                      <a:ext cx="7004050" cy="9886950"/>
                    </a:xfrm>
                    <a:prstGeom prst="rect">
                      <a:avLst/>
                    </a:prstGeom>
                    <a:noFill/>
                    <a:ln>
                      <a:noFill/>
                    </a:ln>
                  </pic:spPr>
                </pic:pic>
              </a:graphicData>
            </a:graphic>
          </wp:anchor>
        </w:drawing>
      </w:r>
    </w:p>
    <w:p>
      <w:pPr>
        <w:pStyle w:val="2"/>
      </w:pPr>
      <w:r>
        <w:drawing>
          <wp:inline distT="0" distB="0" distL="114300" distR="114300">
            <wp:extent cx="8670925" cy="4641215"/>
            <wp:effectExtent l="0" t="0" r="635" b="698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0"/>
                    <a:stretch>
                      <a:fillRect/>
                    </a:stretch>
                  </pic:blipFill>
                  <pic:spPr>
                    <a:xfrm>
                      <a:off x="0" y="0"/>
                      <a:ext cx="8670925" cy="4641215"/>
                    </a:xfrm>
                    <a:prstGeom prst="rect">
                      <a:avLst/>
                    </a:prstGeom>
                    <a:noFill/>
                    <a:ln>
                      <a:noFill/>
                    </a:ln>
                  </pic:spPr>
                </pic:pic>
              </a:graphicData>
            </a:graphic>
          </wp:inline>
        </w:drawing>
      </w:r>
    </w:p>
    <w:p>
      <w:pPr>
        <w:pStyle w:val="2"/>
        <w:rPr>
          <w:rFonts w:hint="default"/>
          <w:lang w:val="en-US" w:eastAsia="zh-CN"/>
        </w:rPr>
      </w:pPr>
    </w:p>
    <w:p>
      <w:pPr>
        <w:pStyle w:val="2"/>
        <w:jc w:val="center"/>
        <w:rPr>
          <w:rFonts w:hint="default" w:eastAsia="仿宋_GB2312"/>
          <w:lang w:val="en-US" w:eastAsia="zh-CN"/>
        </w:rPr>
      </w:pPr>
      <w:r>
        <w:rPr>
          <w:rFonts w:hint="eastAsia"/>
          <w:lang w:val="en-US" w:eastAsia="zh-CN"/>
        </w:rPr>
        <w:t>一般公共预算财政拨款支出决算明细表</w:t>
      </w:r>
    </w:p>
    <w:p>
      <w:pPr>
        <w:pStyle w:val="2"/>
        <w:rPr>
          <w:rFonts w:hint="eastAsia" w:eastAsia="仿宋_GB2312"/>
          <w:lang w:eastAsia="zh-CN"/>
        </w:rPr>
      </w:pPr>
      <w:r>
        <w:rPr>
          <w:rFonts w:hint="eastAsia" w:eastAsia="仿宋_GB2312"/>
          <w:lang w:eastAsia="zh-CN"/>
        </w:rPr>
        <w:drawing>
          <wp:inline distT="0" distB="0" distL="114300" distR="114300">
            <wp:extent cx="9185910" cy="4060825"/>
            <wp:effectExtent l="0" t="0" r="3810" b="8255"/>
            <wp:docPr id="37" name="图片 37" descr="_}U3U5(}$F2%8[N5$8B95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_}U3U5(}$F2%8[N5$8B95CT"/>
                    <pic:cNvPicPr>
                      <a:picLocks noChangeAspect="1"/>
                    </pic:cNvPicPr>
                  </pic:nvPicPr>
                  <pic:blipFill>
                    <a:blip r:embed="rId21"/>
                    <a:stretch>
                      <a:fillRect/>
                    </a:stretch>
                  </pic:blipFill>
                  <pic:spPr>
                    <a:xfrm>
                      <a:off x="0" y="0"/>
                      <a:ext cx="9185910" cy="406082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8855710" cy="3683000"/>
            <wp:effectExtent l="0" t="0" r="13970" b="5080"/>
            <wp:docPr id="25" name="图片 25" descr="N~NQ_5`8TLLKK(WCY0`M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N~NQ_5`8TLLKK(WCY0`MRT7"/>
                    <pic:cNvPicPr>
                      <a:picLocks noChangeAspect="1"/>
                    </pic:cNvPicPr>
                  </pic:nvPicPr>
                  <pic:blipFill>
                    <a:blip r:embed="rId22"/>
                    <a:stretch>
                      <a:fillRect/>
                    </a:stretch>
                  </pic:blipFill>
                  <pic:spPr>
                    <a:xfrm>
                      <a:off x="0" y="0"/>
                      <a:ext cx="8855710" cy="368300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54440" cy="3923030"/>
            <wp:effectExtent l="0" t="0" r="0" b="8890"/>
            <wp:docPr id="26" name="图片 26" descr="OCIZF@ZJ5GEHA(K)5R9X[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OCIZF@ZJ5GEHA(K)5R9X[WF"/>
                    <pic:cNvPicPr>
                      <a:picLocks noChangeAspect="1"/>
                    </pic:cNvPicPr>
                  </pic:nvPicPr>
                  <pic:blipFill>
                    <a:blip r:embed="rId23"/>
                    <a:stretch>
                      <a:fillRect/>
                    </a:stretch>
                  </pic:blipFill>
                  <pic:spPr>
                    <a:xfrm>
                      <a:off x="0" y="0"/>
                      <a:ext cx="8854440" cy="39230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58250" cy="3927475"/>
            <wp:effectExtent l="0" t="0" r="11430" b="4445"/>
            <wp:docPr id="27" name="图片 27" descr="C$XJE52C7GA5FVI({1F2D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XJE52C7GA5FVI({1F2D9O"/>
                    <pic:cNvPicPr>
                      <a:picLocks noChangeAspect="1"/>
                    </pic:cNvPicPr>
                  </pic:nvPicPr>
                  <pic:blipFill>
                    <a:blip r:embed="rId24"/>
                    <a:stretch>
                      <a:fillRect/>
                    </a:stretch>
                  </pic:blipFill>
                  <pic:spPr>
                    <a:xfrm>
                      <a:off x="0" y="0"/>
                      <a:ext cx="8858250" cy="392747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53170" cy="3757295"/>
            <wp:effectExtent l="0" t="0" r="1270" b="6985"/>
            <wp:docPr id="28" name="图片 28" descr="T)MY5E_W(4UEVVG(XQO{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T)MY5E_W(4UEVVG(XQO{V)8"/>
                    <pic:cNvPicPr>
                      <a:picLocks noChangeAspect="1"/>
                    </pic:cNvPicPr>
                  </pic:nvPicPr>
                  <pic:blipFill>
                    <a:blip r:embed="rId25"/>
                    <a:stretch>
                      <a:fillRect/>
                    </a:stretch>
                  </pic:blipFill>
                  <pic:spPr>
                    <a:xfrm>
                      <a:off x="0" y="0"/>
                      <a:ext cx="8853170" cy="375729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51900" cy="4133215"/>
            <wp:effectExtent l="0" t="0" r="2540" b="12065"/>
            <wp:docPr id="29" name="图片 29" descr="A$9~7NWZ1}5B3Y1}SBEQ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9~7NWZ1}5B3Y1}SBEQ2{X"/>
                    <pic:cNvPicPr>
                      <a:picLocks noChangeAspect="1"/>
                    </pic:cNvPicPr>
                  </pic:nvPicPr>
                  <pic:blipFill>
                    <a:blip r:embed="rId26"/>
                    <a:stretch>
                      <a:fillRect/>
                    </a:stretch>
                  </pic:blipFill>
                  <pic:spPr>
                    <a:xfrm>
                      <a:off x="0" y="0"/>
                      <a:ext cx="8851900" cy="41332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58885" cy="3558540"/>
            <wp:effectExtent l="0" t="0" r="10795" b="7620"/>
            <wp:docPr id="30" name="图片 30" descr="B%_{ZZXF%D%%(C6~D02@Q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_{ZZXF%D%%(C6~D02@QPC"/>
                    <pic:cNvPicPr>
                      <a:picLocks noChangeAspect="1"/>
                    </pic:cNvPicPr>
                  </pic:nvPicPr>
                  <pic:blipFill>
                    <a:blip r:embed="rId27"/>
                    <a:stretch>
                      <a:fillRect/>
                    </a:stretch>
                  </pic:blipFill>
                  <pic:spPr>
                    <a:xfrm>
                      <a:off x="0" y="0"/>
                      <a:ext cx="8858885" cy="355854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54440" cy="3863975"/>
            <wp:effectExtent l="0" t="0" r="0" b="6985"/>
            <wp:docPr id="31" name="图片 31" descr="~NHC2T`CZX4X3]]6J5CJF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NHC2T`CZX4X3]]6J5CJFFW"/>
                    <pic:cNvPicPr>
                      <a:picLocks noChangeAspect="1"/>
                    </pic:cNvPicPr>
                  </pic:nvPicPr>
                  <pic:blipFill>
                    <a:blip r:embed="rId28"/>
                    <a:stretch>
                      <a:fillRect/>
                    </a:stretch>
                  </pic:blipFill>
                  <pic:spPr>
                    <a:xfrm>
                      <a:off x="0" y="0"/>
                      <a:ext cx="8854440" cy="386397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59520" cy="4206240"/>
            <wp:effectExtent l="0" t="0" r="10160" b="0"/>
            <wp:docPr id="32" name="图片 32" descr="68IC7$623_QTDS]OBQKR]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8IC7$623_QTDS]OBQKR]K0"/>
                    <pic:cNvPicPr>
                      <a:picLocks noChangeAspect="1"/>
                    </pic:cNvPicPr>
                  </pic:nvPicPr>
                  <pic:blipFill>
                    <a:blip r:embed="rId29"/>
                    <a:stretch>
                      <a:fillRect/>
                    </a:stretch>
                  </pic:blipFill>
                  <pic:spPr>
                    <a:xfrm>
                      <a:off x="0" y="0"/>
                      <a:ext cx="8859520" cy="420624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60155" cy="4240530"/>
            <wp:effectExtent l="0" t="0" r="9525" b="11430"/>
            <wp:docPr id="33" name="图片 33" descr="(4L[IPO0EW4A7D@(_X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L[IPO0EW4A7D@(_X8()BF"/>
                    <pic:cNvPicPr>
                      <a:picLocks noChangeAspect="1"/>
                    </pic:cNvPicPr>
                  </pic:nvPicPr>
                  <pic:blipFill>
                    <a:blip r:embed="rId30"/>
                    <a:stretch>
                      <a:fillRect/>
                    </a:stretch>
                  </pic:blipFill>
                  <pic:spPr>
                    <a:xfrm>
                      <a:off x="0" y="0"/>
                      <a:ext cx="8860155" cy="42405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58250" cy="3905250"/>
            <wp:effectExtent l="0" t="0" r="11430" b="11430"/>
            <wp:docPr id="34" name="图片 34" descr="ZYN4WAK}5BD(`F}$7]4~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ZYN4WAK}5BD(`F}$7]4~NCA"/>
                    <pic:cNvPicPr>
                      <a:picLocks noChangeAspect="1"/>
                    </pic:cNvPicPr>
                  </pic:nvPicPr>
                  <pic:blipFill>
                    <a:blip r:embed="rId31"/>
                    <a:stretch>
                      <a:fillRect/>
                    </a:stretch>
                  </pic:blipFill>
                  <pic:spPr>
                    <a:xfrm>
                      <a:off x="0" y="0"/>
                      <a:ext cx="8858250" cy="390525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856980" cy="4225290"/>
            <wp:effectExtent l="0" t="0" r="12700" b="11430"/>
            <wp:docPr id="35" name="图片 35" descr="5R17M0WAVREMR}8_R_Y_%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R17M0WAVREMR}8_R_Y_%GV"/>
                    <pic:cNvPicPr>
                      <a:picLocks noChangeAspect="1"/>
                    </pic:cNvPicPr>
                  </pic:nvPicPr>
                  <pic:blipFill>
                    <a:blip r:embed="rId32"/>
                    <a:stretch>
                      <a:fillRect/>
                    </a:stretch>
                  </pic:blipFill>
                  <pic:spPr>
                    <a:xfrm>
                      <a:off x="0" y="0"/>
                      <a:ext cx="8856980" cy="422529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7315200" cy="4238625"/>
            <wp:effectExtent l="0" t="0" r="0" b="13335"/>
            <wp:docPr id="36" name="图片 36" descr="DKR6N(@2HO[C(U8YNH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KR6N(@2HO[C(U8YNH_%){H"/>
                    <pic:cNvPicPr>
                      <a:picLocks noChangeAspect="1"/>
                    </pic:cNvPicPr>
                  </pic:nvPicPr>
                  <pic:blipFill>
                    <a:blip r:embed="rId33"/>
                    <a:stretch>
                      <a:fillRect/>
                    </a:stretch>
                  </pic:blipFill>
                  <pic:spPr>
                    <a:xfrm>
                      <a:off x="0" y="0"/>
                      <a:ext cx="7315200" cy="423862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pPr>
      <w:r>
        <w:drawing>
          <wp:inline distT="0" distB="0" distL="114300" distR="114300">
            <wp:extent cx="8853805" cy="5741670"/>
            <wp:effectExtent l="0" t="0" r="635" b="381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34"/>
                    <a:stretch>
                      <a:fillRect/>
                    </a:stretch>
                  </pic:blipFill>
                  <pic:spPr>
                    <a:xfrm>
                      <a:off x="0" y="0"/>
                      <a:ext cx="8853805" cy="5741670"/>
                    </a:xfrm>
                    <a:prstGeom prst="rect">
                      <a:avLst/>
                    </a:prstGeom>
                    <a:noFill/>
                    <a:ln>
                      <a:noFill/>
                    </a:ln>
                  </pic:spPr>
                </pic:pic>
              </a:graphicData>
            </a:graphic>
          </wp:inline>
        </w:drawing>
      </w:r>
    </w:p>
    <w:p>
      <w:pPr>
        <w:pStyle w:val="2"/>
      </w:pPr>
      <w:r>
        <w:drawing>
          <wp:inline distT="0" distB="0" distL="114300" distR="114300">
            <wp:extent cx="6445250" cy="4457700"/>
            <wp:effectExtent l="0" t="0" r="1270" b="762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5"/>
                    <a:stretch>
                      <a:fillRect/>
                    </a:stretch>
                  </pic:blipFill>
                  <pic:spPr>
                    <a:xfrm>
                      <a:off x="0" y="0"/>
                      <a:ext cx="6445250" cy="4457700"/>
                    </a:xfrm>
                    <a:prstGeom prst="rect">
                      <a:avLst/>
                    </a:prstGeom>
                    <a:noFill/>
                    <a:ln>
                      <a:noFill/>
                    </a:ln>
                  </pic:spPr>
                </pic:pic>
              </a:graphicData>
            </a:graphic>
          </wp:inline>
        </w:drawing>
      </w:r>
    </w:p>
    <w:p>
      <w:pPr>
        <w:pStyle w:val="2"/>
      </w:pPr>
    </w:p>
    <w:p>
      <w:pPr>
        <w:pStyle w:val="2"/>
      </w:pPr>
      <w:r>
        <w:drawing>
          <wp:inline distT="0" distB="0" distL="114300" distR="114300">
            <wp:extent cx="8860155" cy="1809750"/>
            <wp:effectExtent l="0" t="0" r="9525" b="381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36"/>
                    <a:stretch>
                      <a:fillRect/>
                    </a:stretch>
                  </pic:blipFill>
                  <pic:spPr>
                    <a:xfrm>
                      <a:off x="0" y="0"/>
                      <a:ext cx="8860155" cy="1809750"/>
                    </a:xfrm>
                    <a:prstGeom prst="rect">
                      <a:avLst/>
                    </a:prstGeom>
                    <a:noFill/>
                    <a:ln>
                      <a:noFill/>
                    </a:ln>
                  </pic:spPr>
                </pic:pic>
              </a:graphicData>
            </a:graphic>
          </wp:inline>
        </w:drawing>
      </w:r>
    </w:p>
    <w:p>
      <w:pPr>
        <w:pStyle w:val="2"/>
        <w:rPr>
          <w:rFonts w:hint="eastAsia" w:eastAsia="仿宋_GB2312"/>
          <w:lang w:val="en-US" w:eastAsia="zh-CN"/>
        </w:rPr>
      </w:pPr>
      <w:r>
        <w:rPr>
          <w:rFonts w:hint="eastAsia"/>
          <w:lang w:val="en-US" w:eastAsia="zh-CN"/>
        </w:rPr>
        <w:t>本表无数据</w:t>
      </w:r>
    </w:p>
    <w:p>
      <w:pPr>
        <w:pStyle w:val="2"/>
      </w:pPr>
    </w:p>
    <w:p>
      <w:pPr>
        <w:pStyle w:val="2"/>
      </w:pPr>
    </w:p>
    <w:p>
      <w:pPr>
        <w:pStyle w:val="2"/>
      </w:pPr>
    </w:p>
    <w:p>
      <w:pPr>
        <w:pStyle w:val="2"/>
      </w:pPr>
    </w:p>
    <w:p>
      <w:pPr>
        <w:pStyle w:val="2"/>
      </w:pPr>
    </w:p>
    <w:p>
      <w:pPr>
        <w:pStyle w:val="2"/>
      </w:pPr>
    </w:p>
    <w:p>
      <w:pPr>
        <w:pStyle w:val="2"/>
      </w:pPr>
      <w:r>
        <w:drawing>
          <wp:inline distT="0" distB="0" distL="114300" distR="114300">
            <wp:extent cx="8858885" cy="2610485"/>
            <wp:effectExtent l="0" t="0" r="10795" b="1079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37"/>
                    <a:stretch>
                      <a:fillRect/>
                    </a:stretch>
                  </pic:blipFill>
                  <pic:spPr>
                    <a:xfrm>
                      <a:off x="0" y="0"/>
                      <a:ext cx="8858885" cy="2610485"/>
                    </a:xfrm>
                    <a:prstGeom prst="rect">
                      <a:avLst/>
                    </a:prstGeom>
                    <a:noFill/>
                    <a:ln>
                      <a:noFill/>
                    </a:ln>
                  </pic:spPr>
                </pic:pic>
              </a:graphicData>
            </a:graphic>
          </wp:inline>
        </w:drawing>
      </w:r>
    </w:p>
    <w:p>
      <w:pPr>
        <w:pStyle w:val="2"/>
        <w:rPr>
          <w:rFonts w:hint="default" w:eastAsia="仿宋_GB2312"/>
          <w:lang w:val="en-US" w:eastAsia="zh-CN"/>
        </w:rPr>
      </w:pPr>
      <w:r>
        <w:rPr>
          <w:rFonts w:hint="eastAsia"/>
          <w:lang w:val="en-US" w:eastAsia="zh-CN"/>
        </w:rPr>
        <w:t>本表无数据</w:t>
      </w:r>
    </w:p>
    <w:p>
      <w:pPr>
        <w:pStyle w:val="2"/>
      </w:pPr>
    </w:p>
    <w:p>
      <w:pPr>
        <w:pStyle w:val="2"/>
      </w:pPr>
    </w:p>
    <w:p>
      <w:pPr>
        <w:pStyle w:val="2"/>
      </w:pPr>
    </w:p>
    <w:p>
      <w:pPr>
        <w:pStyle w:val="2"/>
      </w:pPr>
    </w:p>
    <w:p>
      <w:pPr>
        <w:pStyle w:val="2"/>
      </w:pPr>
      <w:r>
        <w:drawing>
          <wp:inline distT="0" distB="0" distL="114300" distR="114300">
            <wp:extent cx="8328660" cy="2316480"/>
            <wp:effectExtent l="0" t="0" r="762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38"/>
                    <a:stretch>
                      <a:fillRect/>
                    </a:stretch>
                  </pic:blipFill>
                  <pic:spPr>
                    <a:xfrm>
                      <a:off x="0" y="0"/>
                      <a:ext cx="8328660" cy="2316480"/>
                    </a:xfrm>
                    <a:prstGeom prst="rect">
                      <a:avLst/>
                    </a:prstGeom>
                    <a:noFill/>
                    <a:ln>
                      <a:noFill/>
                    </a:ln>
                  </pic:spPr>
                </pic:pic>
              </a:graphicData>
            </a:graphic>
          </wp:inline>
        </w:drawing>
      </w:r>
    </w:p>
    <w:p>
      <w:pPr>
        <w:pStyle w:val="2"/>
        <w:rPr>
          <w:rFonts w:hint="default" w:eastAsia="仿宋_GB2312"/>
          <w:lang w:val="en-US" w:eastAsia="zh-CN"/>
        </w:rPr>
      </w:pPr>
      <w:r>
        <w:rPr>
          <w:rFonts w:hint="eastAsia"/>
          <w:lang w:val="en-US" w:eastAsia="zh-CN"/>
        </w:rPr>
        <w:t>本表无数据</w:t>
      </w:r>
    </w:p>
    <w:p>
      <w:pPr>
        <w:pStyle w:val="2"/>
      </w:pPr>
    </w:p>
    <w:p>
      <w:pPr>
        <w:pStyle w:val="2"/>
      </w:pPr>
    </w:p>
    <w:p>
      <w:pPr>
        <w:pStyle w:val="2"/>
      </w:pPr>
    </w:p>
    <w:p>
      <w:pPr>
        <w:pStyle w:val="2"/>
      </w:pPr>
    </w:p>
    <w:p>
      <w:pPr>
        <w:pStyle w:val="2"/>
      </w:pPr>
    </w:p>
    <w:p>
      <w:pPr>
        <w:pStyle w:val="2"/>
      </w:pPr>
      <w:r>
        <w:drawing>
          <wp:inline distT="0" distB="0" distL="114300" distR="114300">
            <wp:extent cx="8366760" cy="3261360"/>
            <wp:effectExtent l="0" t="0" r="0" b="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9"/>
                    <a:stretch>
                      <a:fillRect/>
                    </a:stretch>
                  </pic:blipFill>
                  <pic:spPr>
                    <a:xfrm>
                      <a:off x="0" y="0"/>
                      <a:ext cx="8366760" cy="3261360"/>
                    </a:xfrm>
                    <a:prstGeom prst="rect">
                      <a:avLst/>
                    </a:prstGeom>
                    <a:noFill/>
                    <a:ln>
                      <a:noFill/>
                    </a:ln>
                  </pic:spPr>
                </pic:pic>
              </a:graphicData>
            </a:graphic>
          </wp:inline>
        </w:drawing>
      </w:r>
    </w:p>
    <w:p>
      <w:pPr>
        <w:pStyle w:val="2"/>
        <w:rPr>
          <w:rFonts w:hint="default" w:eastAsia="仿宋_GB2312"/>
          <w:lang w:val="en-US" w:eastAsia="zh-CN"/>
        </w:rPr>
      </w:pPr>
      <w:r>
        <w:rPr>
          <w:rFonts w:hint="eastAsia"/>
          <w:lang w:val="en-US" w:eastAsia="zh-CN"/>
        </w:rPr>
        <w:t>本表无数据</w:t>
      </w:r>
    </w:p>
    <w:p>
      <w:pPr>
        <w:pStyle w:val="2"/>
      </w:pPr>
    </w:p>
    <w:p>
      <w:pPr>
        <w:pStyle w:val="2"/>
      </w:pPr>
    </w:p>
    <w:p>
      <w:pPr>
        <w:pStyle w:val="2"/>
      </w:pPr>
    </w:p>
    <w:p>
      <w:pPr>
        <w:pStyle w:val="2"/>
      </w:pPr>
      <w:r>
        <w:drawing>
          <wp:inline distT="0" distB="0" distL="114300" distR="114300">
            <wp:extent cx="7193280" cy="3261360"/>
            <wp:effectExtent l="0" t="0" r="0" b="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40"/>
                    <a:stretch>
                      <a:fillRect/>
                    </a:stretch>
                  </pic:blipFill>
                  <pic:spPr>
                    <a:xfrm>
                      <a:off x="0" y="0"/>
                      <a:ext cx="7193280" cy="3261360"/>
                    </a:xfrm>
                    <a:prstGeom prst="rect">
                      <a:avLst/>
                    </a:prstGeom>
                    <a:noFill/>
                    <a:ln>
                      <a:noFill/>
                    </a:ln>
                  </pic:spPr>
                </pic:pic>
              </a:graphicData>
            </a:graphic>
          </wp:inline>
        </w:drawing>
      </w:r>
    </w:p>
    <w:p>
      <w:pPr>
        <w:pStyle w:val="2"/>
        <w:rPr>
          <w:rFonts w:hint="default" w:eastAsia="仿宋_GB2312"/>
          <w:lang w:val="en-US" w:eastAsia="zh-CN"/>
        </w:rPr>
      </w:pPr>
      <w:r>
        <w:rPr>
          <w:rFonts w:hint="eastAsia"/>
          <w:lang w:val="en-US" w:eastAsia="zh-CN"/>
        </w:rPr>
        <w:t>本表无数据</w:t>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0" w:csb1="00000000"/>
  </w:font>
  <w:font w:name="方正小标宋简体">
    <w:altName w:val="Arial Unicode MS"/>
    <w:panose1 w:val="02010601030101010101"/>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variable"/>
    <w:sig w:usb0="80000287" w:usb1="2ACF3C50" w:usb2="00000016" w:usb3="00000000" w:csb0="0004001F" w:csb1="00000000"/>
  </w:font>
  <w:font w:name="楷体_GB2312">
    <w:altName w:val="楷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8"/>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sdt>
                    <w:sdtPr>
                      <w:id w:val="-1994781956"/>
                    </w:sdtPr>
                    <w:sdtContent>
                      <w:p>
                        <w:pPr>
                          <w:pStyle w:val="8"/>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8"/>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1994781956"/>
                    </w:sdtPr>
                    <w:sdtContent>
                      <w:p>
                        <w:pPr>
                          <w:pStyle w:val="8"/>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v:textbox>
            </v:shape>
          </w:pict>
        </mc:Fallback>
      </mc:AlternateContent>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8"/>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eastAsia="宋体"/>
                              <w:lang w:val="en-US" w:eastAsia="zh-CN"/>
                            </w:rPr>
                          </w:pPr>
                        </w:p>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8"/>
                      <w:rPr>
                        <w:rFonts w:hint="default" w:eastAsia="宋体"/>
                        <w:lang w:val="en-US" w:eastAsia="zh-CN"/>
                      </w:rPr>
                    </w:pPr>
                  </w:p>
                  <w:p>
                    <w:pPr>
                      <w:pStyle w:val="8"/>
                    </w:pP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default"/>
                        <w:lang w:val="en-US"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6D0D2"/>
    <w:multiLevelType w:val="singleLevel"/>
    <w:tmpl w:val="B276D0D2"/>
    <w:lvl w:ilvl="0" w:tentative="0">
      <w:start w:val="1"/>
      <w:numFmt w:val="chineseCounting"/>
      <w:suff w:val="nothing"/>
      <w:lvlText w:val="（%1）"/>
      <w:lvlJc w:val="left"/>
      <w:rPr>
        <w:rFonts w:hint="eastAsia"/>
      </w:rPr>
    </w:lvl>
  </w:abstractNum>
  <w:abstractNum w:abstractNumId="1">
    <w:nsid w:val="B2979E34"/>
    <w:multiLevelType w:val="singleLevel"/>
    <w:tmpl w:val="B2979E34"/>
    <w:lvl w:ilvl="0" w:tentative="0">
      <w:start w:val="1"/>
      <w:numFmt w:val="chineseCounting"/>
      <w:suff w:val="nothing"/>
      <w:lvlText w:val="（%1）"/>
      <w:lvlJc w:val="left"/>
      <w:rPr>
        <w:rFonts w:hint="eastAsia"/>
      </w:rPr>
    </w:lvl>
  </w:abstractNum>
  <w:abstractNum w:abstractNumId="2">
    <w:nsid w:val="C64D797F"/>
    <w:multiLevelType w:val="singleLevel"/>
    <w:tmpl w:val="C64D797F"/>
    <w:lvl w:ilvl="0" w:tentative="0">
      <w:start w:val="1"/>
      <w:numFmt w:val="chineseCounting"/>
      <w:suff w:val="nothing"/>
      <w:lvlText w:val="%1、"/>
      <w:lvlJc w:val="left"/>
      <w:rPr>
        <w:rFonts w:hint="eastAsia"/>
      </w:rPr>
    </w:lvl>
  </w:abstractNum>
  <w:abstractNum w:abstractNumId="3">
    <w:nsid w:val="CF652CEC"/>
    <w:multiLevelType w:val="singleLevel"/>
    <w:tmpl w:val="CF652CEC"/>
    <w:lvl w:ilvl="0" w:tentative="0">
      <w:start w:val="9"/>
      <w:numFmt w:val="chineseCounting"/>
      <w:suff w:val="nothing"/>
      <w:lvlText w:val="%1、"/>
      <w:lvlJc w:val="left"/>
      <w:rPr>
        <w:rFonts w:hint="eastAsia"/>
      </w:rPr>
    </w:lvl>
  </w:abstractNum>
  <w:abstractNum w:abstractNumId="4">
    <w:nsid w:val="DC99D9D3"/>
    <w:multiLevelType w:val="singleLevel"/>
    <w:tmpl w:val="DC99D9D3"/>
    <w:lvl w:ilvl="0" w:tentative="0">
      <w:start w:val="3"/>
      <w:numFmt w:val="chineseCounting"/>
      <w:suff w:val="nothing"/>
      <w:lvlText w:val="（%1）"/>
      <w:lvlJc w:val="left"/>
      <w:rPr>
        <w:rFonts w:hint="eastAsia"/>
      </w:rPr>
    </w:lvl>
  </w:abstractNum>
  <w:abstractNum w:abstractNumId="5">
    <w:nsid w:val="DE6FE15D"/>
    <w:multiLevelType w:val="singleLevel"/>
    <w:tmpl w:val="DE6FE15D"/>
    <w:lvl w:ilvl="0" w:tentative="0">
      <w:start w:val="1"/>
      <w:numFmt w:val="chineseCounting"/>
      <w:suff w:val="nothing"/>
      <w:lvlText w:val="%1、"/>
      <w:lvlJc w:val="left"/>
      <w:rPr>
        <w:rFonts w:hint="eastAsia"/>
      </w:rPr>
    </w:lvl>
  </w:abstractNum>
  <w:abstractNum w:abstractNumId="6">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2A3DB3F0"/>
    <w:multiLevelType w:val="singleLevel"/>
    <w:tmpl w:val="2A3DB3F0"/>
    <w:lvl w:ilvl="0" w:tentative="0">
      <w:start w:val="1"/>
      <w:numFmt w:val="chineseCounting"/>
      <w:suff w:val="nothing"/>
      <w:lvlText w:val="（%1）"/>
      <w:lvlJc w:val="left"/>
      <w:rPr>
        <w:rFonts w:hint="eastAsia"/>
      </w:rPr>
    </w:lvl>
  </w:abstractNum>
  <w:abstractNum w:abstractNumId="8">
    <w:nsid w:val="38A21D89"/>
    <w:multiLevelType w:val="singleLevel"/>
    <w:tmpl w:val="38A21D89"/>
    <w:lvl w:ilvl="0" w:tentative="0">
      <w:start w:val="2"/>
      <w:numFmt w:val="chineseCounting"/>
      <w:suff w:val="nothing"/>
      <w:lvlText w:val="（%1）"/>
      <w:lvlJc w:val="left"/>
      <w:rPr>
        <w:rFonts w:hint="eastAsia"/>
      </w:rPr>
    </w:lvl>
  </w:abstractNum>
  <w:num w:numId="1">
    <w:abstractNumId w:val="2"/>
  </w:num>
  <w:num w:numId="2">
    <w:abstractNumId w:val="6"/>
  </w:num>
  <w:num w:numId="3">
    <w:abstractNumId w:val="3"/>
  </w:num>
  <w:num w:numId="4">
    <w:abstractNumId w:val="4"/>
  </w:num>
  <w:num w:numId="5">
    <w:abstractNumId w:val="8"/>
  </w:num>
  <w:num w:numId="6">
    <w:abstractNumId w:val="7"/>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19"/>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A2E03"/>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3036BC5"/>
    <w:rsid w:val="03BB71B5"/>
    <w:rsid w:val="042A46D2"/>
    <w:rsid w:val="04D12E74"/>
    <w:rsid w:val="06073783"/>
    <w:rsid w:val="09A33532"/>
    <w:rsid w:val="0A2032A3"/>
    <w:rsid w:val="0AF334F3"/>
    <w:rsid w:val="0E2418B8"/>
    <w:rsid w:val="0F025667"/>
    <w:rsid w:val="10C055FF"/>
    <w:rsid w:val="118107EC"/>
    <w:rsid w:val="12214C6C"/>
    <w:rsid w:val="13250FBF"/>
    <w:rsid w:val="159B7E6F"/>
    <w:rsid w:val="15ED5134"/>
    <w:rsid w:val="15F83F79"/>
    <w:rsid w:val="16BB723D"/>
    <w:rsid w:val="17566AB9"/>
    <w:rsid w:val="18015F3F"/>
    <w:rsid w:val="19171AAE"/>
    <w:rsid w:val="19704B14"/>
    <w:rsid w:val="1BE273BA"/>
    <w:rsid w:val="1BE8440E"/>
    <w:rsid w:val="1D155CEE"/>
    <w:rsid w:val="1D827281"/>
    <w:rsid w:val="1DCD1E94"/>
    <w:rsid w:val="20F57F95"/>
    <w:rsid w:val="215B3857"/>
    <w:rsid w:val="2253751E"/>
    <w:rsid w:val="23481701"/>
    <w:rsid w:val="240371BF"/>
    <w:rsid w:val="271070AE"/>
    <w:rsid w:val="2867268E"/>
    <w:rsid w:val="28D10E53"/>
    <w:rsid w:val="29FD04D3"/>
    <w:rsid w:val="2A2822A9"/>
    <w:rsid w:val="2A28550F"/>
    <w:rsid w:val="2ABE7A3E"/>
    <w:rsid w:val="2C045F84"/>
    <w:rsid w:val="2D2A7191"/>
    <w:rsid w:val="319F66ED"/>
    <w:rsid w:val="319F7F4E"/>
    <w:rsid w:val="32B861BB"/>
    <w:rsid w:val="33695051"/>
    <w:rsid w:val="341B4740"/>
    <w:rsid w:val="350C24EC"/>
    <w:rsid w:val="384B6D96"/>
    <w:rsid w:val="39597815"/>
    <w:rsid w:val="39C50CA7"/>
    <w:rsid w:val="39C53D4F"/>
    <w:rsid w:val="39CE333E"/>
    <w:rsid w:val="3ED96BD4"/>
    <w:rsid w:val="3FFB56DC"/>
    <w:rsid w:val="41BE534E"/>
    <w:rsid w:val="41C1053D"/>
    <w:rsid w:val="43056E37"/>
    <w:rsid w:val="431C0992"/>
    <w:rsid w:val="437761EB"/>
    <w:rsid w:val="46A66E81"/>
    <w:rsid w:val="48CC2E19"/>
    <w:rsid w:val="4950015F"/>
    <w:rsid w:val="496F39ED"/>
    <w:rsid w:val="4BE068DB"/>
    <w:rsid w:val="4E4B7915"/>
    <w:rsid w:val="4ECE2238"/>
    <w:rsid w:val="4FC019EA"/>
    <w:rsid w:val="502C5366"/>
    <w:rsid w:val="50685CFA"/>
    <w:rsid w:val="51D74CF9"/>
    <w:rsid w:val="52A73B6C"/>
    <w:rsid w:val="54E7486A"/>
    <w:rsid w:val="572748ED"/>
    <w:rsid w:val="57646710"/>
    <w:rsid w:val="58A4460F"/>
    <w:rsid w:val="59FB3365"/>
    <w:rsid w:val="5D43689A"/>
    <w:rsid w:val="5F886D7F"/>
    <w:rsid w:val="5F9369E2"/>
    <w:rsid w:val="620C1164"/>
    <w:rsid w:val="65304C47"/>
    <w:rsid w:val="67A96831"/>
    <w:rsid w:val="6A744733"/>
    <w:rsid w:val="6A81333B"/>
    <w:rsid w:val="6B510BD3"/>
    <w:rsid w:val="6C4A05C8"/>
    <w:rsid w:val="6EE01EBF"/>
    <w:rsid w:val="72734D90"/>
    <w:rsid w:val="72AA5D92"/>
    <w:rsid w:val="741569E1"/>
    <w:rsid w:val="75AF7383"/>
    <w:rsid w:val="76034E10"/>
    <w:rsid w:val="76C715BC"/>
    <w:rsid w:val="79596FB1"/>
    <w:rsid w:val="79AC1590"/>
    <w:rsid w:val="7B121D55"/>
    <w:rsid w:val="7CE961B7"/>
    <w:rsid w:val="7D34566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2"/>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8"/>
    <w:semiHidden/>
    <w:unhideWhenUsed/>
    <w:qFormat/>
    <w:uiPriority w:val="99"/>
    <w:rPr>
      <w:sz w:val="18"/>
      <w:szCs w:val="18"/>
    </w:rPr>
  </w:style>
  <w:style w:type="paragraph" w:styleId="8">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8"/>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able of figures"/>
    <w:basedOn w:val="1"/>
    <w:next w:val="1"/>
    <w:qFormat/>
    <w:uiPriority w:val="99"/>
    <w:pPr>
      <w:ind w:leftChars="200" w:hanging="200" w:hangingChars="200"/>
    </w:pPr>
  </w:style>
  <w:style w:type="paragraph" w:styleId="12">
    <w:name w:val="toc 2"/>
    <w:basedOn w:val="1"/>
    <w:next w:val="1"/>
    <w:unhideWhenUsed/>
    <w:qFormat/>
    <w:uiPriority w:val="39"/>
    <w:pPr>
      <w:tabs>
        <w:tab w:val="right" w:leader="dot" w:pos="8296"/>
      </w:tabs>
      <w:ind w:left="420" w:leftChars="200"/>
    </w:pPr>
  </w:style>
  <w:style w:type="character" w:styleId="15">
    <w:name w:val="Strong"/>
    <w:basedOn w:val="14"/>
    <w:qFormat/>
    <w:uiPriority w:val="99"/>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Header Char"/>
    <w:basedOn w:val="14"/>
    <w:semiHidden/>
    <w:qFormat/>
    <w:uiPriority w:val="99"/>
    <w:rPr>
      <w:rFonts w:ascii="Times New Roman" w:hAnsi="Times New Roman"/>
      <w:sz w:val="18"/>
      <w:szCs w:val="18"/>
    </w:rPr>
  </w:style>
  <w:style w:type="character" w:customStyle="1" w:styleId="18">
    <w:name w:val="页眉 Char"/>
    <w:link w:val="9"/>
    <w:semiHidden/>
    <w:qFormat/>
    <w:locked/>
    <w:uiPriority w:val="99"/>
    <w:rPr>
      <w:sz w:val="18"/>
    </w:rPr>
  </w:style>
  <w:style w:type="character" w:customStyle="1" w:styleId="19">
    <w:name w:val="Footer Char"/>
    <w:basedOn w:val="14"/>
    <w:semiHidden/>
    <w:qFormat/>
    <w:uiPriority w:val="99"/>
    <w:rPr>
      <w:rFonts w:ascii="Times New Roman" w:hAnsi="Times New Roman"/>
      <w:sz w:val="18"/>
      <w:szCs w:val="18"/>
    </w:rPr>
  </w:style>
  <w:style w:type="character" w:customStyle="1" w:styleId="20">
    <w:name w:val="页脚 Char"/>
    <w:link w:val="8"/>
    <w:qFormat/>
    <w:locked/>
    <w:uiPriority w:val="99"/>
    <w:rPr>
      <w:sz w:val="18"/>
    </w:rPr>
  </w:style>
  <w:style w:type="character" w:customStyle="1" w:styleId="21">
    <w:name w:val="Body Text Char"/>
    <w:basedOn w:val="14"/>
    <w:semiHidden/>
    <w:qFormat/>
    <w:uiPriority w:val="99"/>
    <w:rPr>
      <w:rFonts w:ascii="Times New Roman" w:hAnsi="Times New Roman"/>
      <w:szCs w:val="24"/>
    </w:rPr>
  </w:style>
  <w:style w:type="character" w:customStyle="1" w:styleId="22">
    <w:name w:val="正文文本 Char"/>
    <w:link w:val="2"/>
    <w:qFormat/>
    <w:locked/>
    <w:uiPriority w:val="99"/>
    <w:rPr>
      <w:rFonts w:ascii="仿宋_GB2312" w:hAnsi="Times New Roman" w:eastAsia="仿宋_GB2312"/>
      <w:sz w:val="24"/>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4">
    <w:name w:val="List Paragraph"/>
    <w:basedOn w:val="1"/>
    <w:qFormat/>
    <w:uiPriority w:val="34"/>
    <w:pPr>
      <w:ind w:firstLine="420" w:firstLineChars="200"/>
    </w:pPr>
  </w:style>
  <w:style w:type="character" w:customStyle="1" w:styleId="25">
    <w:name w:val="标题 1 Char"/>
    <w:basedOn w:val="14"/>
    <w:link w:val="3"/>
    <w:qFormat/>
    <w:uiPriority w:val="9"/>
    <w:rPr>
      <w:rFonts w:ascii="Times New Roman" w:hAnsi="Times New Roman"/>
      <w:b/>
      <w:bCs/>
      <w:kern w:val="44"/>
      <w:sz w:val="44"/>
      <w:szCs w:val="44"/>
    </w:rPr>
  </w:style>
  <w:style w:type="character" w:customStyle="1" w:styleId="26">
    <w:name w:val="标题 2 Char"/>
    <w:basedOn w:val="14"/>
    <w:link w:val="4"/>
    <w:qFormat/>
    <w:uiPriority w:val="9"/>
    <w:rPr>
      <w:rFonts w:asciiTheme="majorHAnsi" w:hAnsiTheme="majorHAnsi" w:eastAsiaTheme="majorEastAsia" w:cstheme="majorBidi"/>
      <w:b/>
      <w:bCs/>
      <w:kern w:val="2"/>
      <w:sz w:val="32"/>
      <w:szCs w:val="32"/>
    </w:rPr>
  </w:style>
  <w:style w:type="paragraph" w:customStyle="1" w:styleId="2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4"/>
    <w:link w:val="7"/>
    <w:semiHidden/>
    <w:qFormat/>
    <w:uiPriority w:val="99"/>
    <w:rPr>
      <w:rFonts w:ascii="Times New Roman" w:hAnsi="Times New Roman"/>
      <w:kern w:val="2"/>
      <w:sz w:val="18"/>
      <w:szCs w:val="18"/>
    </w:rPr>
  </w:style>
  <w:style w:type="character" w:customStyle="1" w:styleId="29">
    <w:name w:val="标题 3 Char"/>
    <w:basedOn w:val="14"/>
    <w:link w:val="5"/>
    <w:qFormat/>
    <w:uiPriority w:val="9"/>
    <w:rPr>
      <w:rFonts w:ascii="Times New Roman" w:hAnsi="Times New Roman"/>
      <w:b/>
      <w:bCs/>
      <w:kern w:val="2"/>
      <w:sz w:val="32"/>
      <w:szCs w:val="32"/>
    </w:rPr>
  </w:style>
  <w:style w:type="paragraph" w:customStyle="1" w:styleId="30">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font31"/>
    <w:basedOn w:val="14"/>
    <w:qFormat/>
    <w:uiPriority w:val="0"/>
    <w:rPr>
      <w:rFonts w:hint="eastAsia" w:ascii="宋体" w:hAnsi="宋体" w:eastAsia="宋体"/>
      <w:color w:val="000000"/>
      <w:sz w:val="20"/>
      <w:szCs w:val="20"/>
      <w:u w:val="none"/>
    </w:rPr>
  </w:style>
  <w:style w:type="paragraph" w:customStyle="1" w:styleId="32">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6" Type="http://schemas.microsoft.com/office/2011/relationships/chartColorStyle" Target="colors2.xml"/><Relationship Id="rId5" Type="http://schemas.microsoft.com/office/2011/relationships/chartStyle" Target="style2.xml"/><Relationship Id="rId4" Type="http://schemas.openxmlformats.org/officeDocument/2006/relationships/image" Target="../media/image28.png"/><Relationship Id="rId3" Type="http://schemas.openxmlformats.org/officeDocument/2006/relationships/image" Target="../media/image27.png"/><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6" Type="http://schemas.microsoft.com/office/2011/relationships/chartColorStyle" Target="colors4.xml"/><Relationship Id="rId5" Type="http://schemas.microsoft.com/office/2011/relationships/chartStyle" Target="style4.xml"/><Relationship Id="rId4" Type="http://schemas.openxmlformats.org/officeDocument/2006/relationships/image" Target="../media/image28.png"/><Relationship Id="rId3" Type="http://schemas.openxmlformats.org/officeDocument/2006/relationships/image" Target="../media/image27.png"/><Relationship Id="rId2" Type="http://schemas.openxmlformats.org/officeDocument/2006/relationships/themeOverride" Target="../theme/themeOverride2.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6" Type="http://schemas.microsoft.com/office/2011/relationships/chartColorStyle" Target="colors5.xml"/><Relationship Id="rId5" Type="http://schemas.microsoft.com/office/2011/relationships/chartStyle" Target="style5.xml"/><Relationship Id="rId4" Type="http://schemas.openxmlformats.org/officeDocument/2006/relationships/image" Target="../media/image28.png"/><Relationship Id="rId3" Type="http://schemas.openxmlformats.org/officeDocument/2006/relationships/image" Target="../media/image27.png"/><Relationship Id="rId2" Type="http://schemas.openxmlformats.org/officeDocument/2006/relationships/themeOverride" Target="../theme/themeOverride3.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2019年</c:v>
                </c:pt>
              </c:strCache>
            </c:strRef>
          </c:tx>
          <c:spPr>
            <a:blipFill rotWithShape="1">
              <a:blip xmlns:r="http://schemas.openxmlformats.org/officeDocument/2006/relationships" r:embed="rId3"/>
              <a:stretch>
                <a:fillRect/>
              </a:stretch>
            </a:blipFill>
            <a:ln>
              <a:noFill/>
            </a:ln>
            <a:effectLst>
              <a:outerShdw blurRad="76200" dir="18900000" sy="23000" kx="-1200000" algn="bl" rotWithShape="0">
                <a:prstClr val="black">
                  <a:alpha val="10000"/>
                </a:prstClr>
              </a:outerShdw>
            </a:effectLst>
          </c:spPr>
          <c:invertIfNegative val="0"/>
          <c:dLbls>
            <c:delete val="1"/>
          </c:dLbls>
          <c:cat>
            <c:strRef>
              <c:f>Sheet1!$A$2:$A$3</c:f>
              <c:strCache>
                <c:ptCount val="2"/>
                <c:pt idx="0">
                  <c:v>收入</c:v>
                </c:pt>
                <c:pt idx="1">
                  <c:v>支出</c:v>
                </c:pt>
              </c:strCache>
            </c:strRef>
          </c:cat>
          <c:val>
            <c:numRef>
              <c:f>Sheet1!$B$2:$B$3</c:f>
              <c:numCache>
                <c:formatCode>General</c:formatCode>
                <c:ptCount val="2"/>
                <c:pt idx="0">
                  <c:v>6472.1</c:v>
                </c:pt>
                <c:pt idx="1">
                  <c:v>6472.1</c:v>
                </c:pt>
              </c:numCache>
            </c:numRef>
          </c:val>
        </c:ser>
        <c:ser>
          <c:idx val="1"/>
          <c:order val="1"/>
          <c:tx>
            <c:strRef>
              <c:f>Sheet1!$C$1</c:f>
              <c:strCache>
                <c:ptCount val="1"/>
                <c:pt idx="0">
                  <c:v>2020年</c:v>
                </c:pt>
              </c:strCache>
            </c:strRef>
          </c:tx>
          <c:spPr>
            <a:blipFill rotWithShape="1">
              <a:blip xmlns:r="http://schemas.openxmlformats.org/officeDocument/2006/relationships" r:embed="rId4"/>
              <a:stretch>
                <a:fillRect/>
              </a:stretch>
            </a:blipFill>
            <a:ln>
              <a:noFill/>
            </a:ln>
            <a:effectLst>
              <a:outerShdw blurRad="76200" dir="18900000" sy="23000" kx="-1200000" algn="bl" rotWithShape="0">
                <a:prstClr val="black">
                  <a:alpha val="10000"/>
                </a:prstClr>
              </a:outerShdw>
            </a:effectLst>
          </c:spPr>
          <c:invertIfNegative val="0"/>
          <c:dLbls>
            <c:delete val="1"/>
          </c:dLbls>
          <c:cat>
            <c:strRef>
              <c:f>Sheet1!$A$2:$A$3</c:f>
              <c:strCache>
                <c:ptCount val="2"/>
                <c:pt idx="0">
                  <c:v>收入</c:v>
                </c:pt>
                <c:pt idx="1">
                  <c:v>支出</c:v>
                </c:pt>
              </c:strCache>
            </c:strRef>
          </c:cat>
          <c:val>
            <c:numRef>
              <c:f>Sheet1!$C$2:$C$3</c:f>
              <c:numCache>
                <c:formatCode>General</c:formatCode>
                <c:ptCount val="2"/>
                <c:pt idx="0">
                  <c:v>13200.5</c:v>
                </c:pt>
                <c:pt idx="1">
                  <c:v>12685.1</c:v>
                </c:pt>
              </c:numCache>
            </c:numRef>
          </c:val>
        </c:ser>
        <c:dLbls>
          <c:showLegendKey val="0"/>
          <c:showVal val="0"/>
          <c:showCatName val="0"/>
          <c:showSerName val="0"/>
          <c:showPercent val="0"/>
          <c:showBubbleSize val="0"/>
        </c:dLbls>
        <c:gapWidth val="500"/>
        <c:overlap val="-40"/>
        <c:axId val="848316847"/>
        <c:axId val="567862855"/>
      </c:barChart>
      <c:catAx>
        <c:axId val="848316847"/>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567862855"/>
        <c:crosses val="autoZero"/>
        <c:auto val="1"/>
        <c:lblAlgn val="ctr"/>
        <c:lblOffset val="100"/>
        <c:noMultiLvlLbl val="0"/>
      </c:catAx>
      <c:valAx>
        <c:axId val="567862855"/>
        <c:scaling>
          <c:orientation val="minMax"/>
        </c:scaling>
        <c:delete val="0"/>
        <c:axPos val="l"/>
        <c:majorGridlines>
          <c:spPr>
            <a:ln w="3175" cap="flat" cmpd="sng" algn="ctr">
              <a:solidFill>
                <a:srgbClr val="EAEAEA"/>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84831684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gap"/>
    <c:showDLblsOverMax val="0"/>
  </c:chart>
  <c:spPr>
    <a:solidFill>
      <a:schemeClr val="bg1"/>
    </a:solidFill>
    <a:ln w="9525" cap="flat" cmpd="sng" algn="ctr">
      <a:solidFill>
        <a:srgbClr val="EAEAEA"/>
      </a:solidFill>
      <a:round/>
    </a:ln>
    <a:effectLst/>
  </c:spPr>
  <c:txPr>
    <a:bodyPr/>
    <a:lstStyle/>
    <a:p>
      <a:pPr>
        <a:defRPr lang="zh-CN">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收入决算结构图</a:t>
            </a:r>
          </a:p>
        </c:rich>
      </c:tx>
      <c:layout/>
      <c:overlay val="0"/>
      <c:spPr>
        <a:noFill/>
        <a:ln>
          <a:noFill/>
        </a:ln>
        <a:effectLst/>
      </c:spPr>
    </c:title>
    <c:autoTitleDeleted val="0"/>
    <c:plotArea>
      <c:layout>
        <c:manualLayout>
          <c:layoutTarget val="inner"/>
          <c:xMode val="edge"/>
          <c:yMode val="edge"/>
          <c:x val="0.298067413404152"/>
          <c:y val="0.199134199134199"/>
          <c:w val="0.411575273422998"/>
          <c:h val="0.693263804713804"/>
        </c:manualLayout>
      </c:layout>
      <c:pieChart>
        <c:varyColors val="1"/>
        <c:ser>
          <c:idx val="0"/>
          <c:order val="0"/>
          <c:tx>
            <c:strRef>
              <c:f>Sheet1!$B$1</c:f>
              <c:strCache>
                <c:ptCount val="1"/>
                <c:pt idx="0">
                  <c:v>系列 1</c:v>
                </c:pt>
              </c:strCache>
            </c:strRef>
          </c:tx>
          <c:spPr/>
          <c:explosion val="0"/>
          <c:dPt>
            <c:idx val="0"/>
            <c:bubble3D val="0"/>
            <c:spPr>
              <a:solidFill>
                <a:schemeClr val="accent1">
                  <a:shade val="76667"/>
                </a:schemeClr>
              </a:solidFill>
              <a:ln w="19050">
                <a:solidFill>
                  <a:schemeClr val="lt1"/>
                </a:solidFill>
              </a:ln>
              <a:effectLst/>
            </c:spPr>
          </c:dPt>
          <c:dPt>
            <c:idx val="1"/>
            <c:bubble3D val="0"/>
            <c:spPr>
              <a:solidFill>
                <a:schemeClr val="accent1">
                  <a:tint val="76667"/>
                </a:schemeClr>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其他收入</c:v>
                </c:pt>
              </c:strCache>
            </c:strRef>
          </c:cat>
          <c:val>
            <c:numRef>
              <c:f>Sheet1!$B$2:$B$3</c:f>
              <c:numCache>
                <c:formatCode>General</c:formatCode>
                <c:ptCount val="2"/>
                <c:pt idx="0">
                  <c:v>10487.29</c:v>
                </c:pt>
                <c:pt idx="1">
                  <c:v>2713.21</c:v>
                </c:pt>
              </c:numCache>
            </c:numRef>
          </c:val>
        </c:ser>
        <c:ser>
          <c:idx val="1"/>
          <c:order val="1"/>
          <c:tx>
            <c:strRef>
              <c:f>Sheet1!#REF!</c:f>
              <c:strCache>
                <c:ptCount val="1"/>
                <c:pt idx="0">
                  <c:v/>
                </c:pt>
              </c:strCache>
            </c:strRef>
          </c:tx>
          <c:spPr/>
          <c:explosion val="0"/>
          <c:dPt>
            <c:idx val="0"/>
            <c:bubble3D val="0"/>
            <c:spPr>
              <a:solidFill>
                <a:schemeClr val="accent1"/>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其他收入</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其他收入</c:v>
                </c:pt>
              </c:strCache>
            </c:strRef>
          </c:cat>
          <c:val>
            <c:numRef>
              <c:f>Sheet1!#REF!</c:f>
              <c:numCache>
                <c:formatCode>General</c:formatCode>
                <c:ptCount val="1"/>
                <c:pt idx="0">
                  <c:v>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p>
        </c:rich>
      </c:tx>
      <c:layout/>
      <c:overlay val="0"/>
      <c:spPr>
        <a:noFill/>
        <a:ln>
          <a:noFill/>
        </a:ln>
        <a:effectLst/>
      </c:spPr>
    </c:title>
    <c:autoTitleDeleted val="0"/>
    <c:plotArea>
      <c:layout/>
      <c:pieChart>
        <c:varyColors val="1"/>
        <c:ser>
          <c:idx val="0"/>
          <c:order val="0"/>
          <c:tx>
            <c:strRef>
              <c:f>Sheet1!$B$1</c:f>
              <c:strCache>
                <c:ptCount val="1"/>
                <c:pt idx="0">
                  <c:v>系列 1</c:v>
                </c:pt>
              </c:strCache>
            </c:strRef>
          </c:tx>
          <c:spPr/>
          <c:explosion val="0"/>
          <c:dPt>
            <c:idx val="0"/>
            <c:bubble3D val="0"/>
            <c:spPr>
              <a:solidFill>
                <a:schemeClr val="accent1">
                  <a:shade val="76667"/>
                </a:schemeClr>
              </a:solidFill>
              <a:ln w="19050">
                <a:solidFill>
                  <a:schemeClr val="lt1"/>
                </a:solidFill>
              </a:ln>
              <a:effectLst/>
            </c:spPr>
          </c:dPt>
          <c:dPt>
            <c:idx val="1"/>
            <c:bubble3D val="0"/>
            <c:spPr>
              <a:solidFill>
                <a:schemeClr val="accent1">
                  <a:tint val="76667"/>
                </a:schemeClr>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3005.92</c:v>
                </c:pt>
                <c:pt idx="1">
                  <c:v>9679.2</c:v>
                </c:pt>
              </c:numCache>
            </c:numRef>
          </c:val>
        </c:ser>
        <c:ser>
          <c:idx val="1"/>
          <c:order val="1"/>
          <c:tx>
            <c:strRef>
              <c:f>Sheet1!#REF!</c:f>
              <c:strCache>
                <c:ptCount val="1"/>
                <c:pt idx="0">
                  <c:v/>
                </c:pt>
              </c:strCache>
            </c:strRef>
          </c:tx>
          <c:spPr/>
          <c:explosion val="0"/>
          <c:dPt>
            <c:idx val="0"/>
            <c:bubble3D val="0"/>
            <c:spPr>
              <a:solidFill>
                <a:schemeClr val="accent1"/>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r>
              <a:t>财政拨款收、支决算总计变动情况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2019年</c:v>
                </c:pt>
              </c:strCache>
            </c:strRef>
          </c:tx>
          <c:spPr>
            <a:blipFill rotWithShape="1">
              <a:blip xmlns:r="http://schemas.openxmlformats.org/officeDocument/2006/relationships" r:embed="rId3"/>
              <a:stretch>
                <a:fillRect/>
              </a:stretch>
            </a:blipFill>
            <a:ln>
              <a:noFill/>
            </a:ln>
            <a:effectLst>
              <a:outerShdw blurRad="76200" dir="18900000" sy="23000" kx="-1200000" algn="bl" rotWithShape="0">
                <a:prstClr val="black">
                  <a:alpha val="10000"/>
                </a:prstClr>
              </a:outerShdw>
            </a:effectLst>
          </c:spPr>
          <c:invertIfNegative val="0"/>
          <c:dLbls>
            <c:delete val="1"/>
          </c:dLbls>
          <c:cat>
            <c:strRef>
              <c:f>Sheet1!$A$2:$A$3</c:f>
              <c:strCache>
                <c:ptCount val="2"/>
                <c:pt idx="0">
                  <c:v>收入</c:v>
                </c:pt>
                <c:pt idx="1">
                  <c:v>支出</c:v>
                </c:pt>
              </c:strCache>
            </c:strRef>
          </c:cat>
          <c:val>
            <c:numRef>
              <c:f>Sheet1!$B$2:$B$3</c:f>
              <c:numCache>
                <c:formatCode>General</c:formatCode>
                <c:ptCount val="2"/>
                <c:pt idx="0">
                  <c:v>4880.8</c:v>
                </c:pt>
                <c:pt idx="1">
                  <c:v>4880.8</c:v>
                </c:pt>
              </c:numCache>
            </c:numRef>
          </c:val>
        </c:ser>
        <c:ser>
          <c:idx val="1"/>
          <c:order val="1"/>
          <c:tx>
            <c:strRef>
              <c:f>Sheet1!$C$1</c:f>
              <c:strCache>
                <c:ptCount val="1"/>
                <c:pt idx="0">
                  <c:v>2020年</c:v>
                </c:pt>
              </c:strCache>
            </c:strRef>
          </c:tx>
          <c:spPr>
            <a:blipFill rotWithShape="1">
              <a:blip xmlns:r="http://schemas.openxmlformats.org/officeDocument/2006/relationships" r:embed="rId4"/>
              <a:stretch>
                <a:fillRect/>
              </a:stretch>
            </a:blipFill>
            <a:ln>
              <a:noFill/>
            </a:ln>
            <a:effectLst>
              <a:outerShdw blurRad="76200" dir="18900000" sy="23000" kx="-1200000" algn="bl" rotWithShape="0">
                <a:prstClr val="black">
                  <a:alpha val="10000"/>
                </a:prstClr>
              </a:outerShdw>
            </a:effectLst>
          </c:spPr>
          <c:invertIfNegative val="0"/>
          <c:dLbls>
            <c:delete val="1"/>
          </c:dLbls>
          <c:cat>
            <c:strRef>
              <c:f>Sheet1!$A$2:$A$3</c:f>
              <c:strCache>
                <c:ptCount val="2"/>
                <c:pt idx="0">
                  <c:v>收入</c:v>
                </c:pt>
                <c:pt idx="1">
                  <c:v>支出</c:v>
                </c:pt>
              </c:strCache>
            </c:strRef>
          </c:cat>
          <c:val>
            <c:numRef>
              <c:f>Sheet1!$C$2:$C$3</c:f>
              <c:numCache>
                <c:formatCode>General</c:formatCode>
                <c:ptCount val="2"/>
                <c:pt idx="0">
                  <c:v>10487.2</c:v>
                </c:pt>
                <c:pt idx="1">
                  <c:v>10487.2</c:v>
                </c:pt>
              </c:numCache>
            </c:numRef>
          </c:val>
        </c:ser>
        <c:dLbls>
          <c:showLegendKey val="0"/>
          <c:showVal val="0"/>
          <c:showCatName val="0"/>
          <c:showSerName val="0"/>
          <c:showPercent val="0"/>
          <c:showBubbleSize val="0"/>
        </c:dLbls>
        <c:gapWidth val="500"/>
        <c:overlap val="-40"/>
        <c:axId val="734253029"/>
        <c:axId val="767523548"/>
      </c:barChart>
      <c:catAx>
        <c:axId val="734253029"/>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767523548"/>
        <c:crosses val="autoZero"/>
        <c:auto val="1"/>
        <c:lblAlgn val="ctr"/>
        <c:lblOffset val="100"/>
        <c:noMultiLvlLbl val="0"/>
      </c:catAx>
      <c:valAx>
        <c:axId val="767523548"/>
        <c:scaling>
          <c:orientation val="minMax"/>
        </c:scaling>
        <c:delete val="0"/>
        <c:axPos val="l"/>
        <c:majorGridlines>
          <c:spPr>
            <a:ln w="3175" cap="flat" cmpd="sng" algn="ctr">
              <a:solidFill>
                <a:srgbClr val="EAEAEA"/>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73425302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gap"/>
    <c:showDLblsOverMax val="0"/>
  </c:chart>
  <c:spPr>
    <a:solidFill>
      <a:schemeClr val="bg1"/>
    </a:solidFill>
    <a:ln w="9525" cap="flat" cmpd="sng" algn="ctr">
      <a:solidFill>
        <a:srgbClr val="EAEAEA"/>
      </a:solidFill>
      <a:round/>
    </a:ln>
    <a:effectLst/>
  </c:spPr>
  <c:txPr>
    <a:bodyPr/>
    <a:lstStyle/>
    <a:p>
      <a:pPr>
        <a:defRPr lang="zh-CN">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291777188329"/>
          <c:y val="0.0810945273631841"/>
          <c:w val="0.831631299734748"/>
          <c:h val="0.705323383084577"/>
        </c:manualLayout>
      </c:layout>
      <c:barChart>
        <c:barDir val="col"/>
        <c:grouping val="clustered"/>
        <c:varyColors val="0"/>
        <c:ser>
          <c:idx val="0"/>
          <c:order val="0"/>
          <c:tx>
            <c:strRef>
              <c:f>Sheet1!$B$1</c:f>
              <c:strCache>
                <c:ptCount val="1"/>
                <c:pt idx="0">
                  <c:v>2019年</c:v>
                </c:pt>
              </c:strCache>
            </c:strRef>
          </c:tx>
          <c:spPr>
            <a:blipFill rotWithShape="1">
              <a:blip xmlns:r="http://schemas.openxmlformats.org/officeDocument/2006/relationships" r:embed="rId3"/>
              <a:stretch>
                <a:fillRect/>
              </a:stretch>
            </a:blipFill>
            <a:ln>
              <a:noFill/>
            </a:ln>
            <a:effectLst>
              <a:outerShdw blurRad="76200" dir="18900000" sy="23000" kx="-1200000" algn="bl" rotWithShape="0">
                <a:prstClr val="black">
                  <a:alpha val="10000"/>
                </a:prstClr>
              </a:outerShdw>
            </a:effectLst>
          </c:spPr>
          <c:invertIfNegative val="0"/>
          <c:dLbls>
            <c:delete val="1"/>
          </c:dLbls>
          <c:cat>
            <c:strRef>
              <c:f>Sheet1!$A$2</c:f>
              <c:strCache>
                <c:ptCount val="1"/>
                <c:pt idx="0">
                  <c:v>一般公共预算财政拨款支出决算变动情况</c:v>
                </c:pt>
              </c:strCache>
            </c:strRef>
          </c:cat>
          <c:val>
            <c:numRef>
              <c:f>Sheet1!$B$2</c:f>
              <c:numCache>
                <c:formatCode>General</c:formatCode>
                <c:ptCount val="1"/>
                <c:pt idx="0">
                  <c:v>5638.1</c:v>
                </c:pt>
              </c:numCache>
            </c:numRef>
          </c:val>
        </c:ser>
        <c:ser>
          <c:idx val="1"/>
          <c:order val="1"/>
          <c:tx>
            <c:strRef>
              <c:f>Sheet1!$C$1</c:f>
              <c:strCache>
                <c:ptCount val="1"/>
                <c:pt idx="0">
                  <c:v>2020年</c:v>
                </c:pt>
              </c:strCache>
            </c:strRef>
          </c:tx>
          <c:spPr>
            <a:blipFill rotWithShape="1">
              <a:blip xmlns:r="http://schemas.openxmlformats.org/officeDocument/2006/relationships" r:embed="rId4"/>
              <a:stretch>
                <a:fillRect/>
              </a:stretch>
            </a:blipFill>
            <a:ln>
              <a:noFill/>
            </a:ln>
            <a:effectLst>
              <a:outerShdw blurRad="76200" dir="18900000" sy="23000" kx="-1200000" algn="bl" rotWithShape="0">
                <a:prstClr val="black">
                  <a:alpha val="10000"/>
                </a:prstClr>
              </a:outerShdw>
            </a:effectLst>
          </c:spPr>
          <c:invertIfNegative val="0"/>
          <c:dLbls>
            <c:delete val="1"/>
          </c:dLbls>
          <c:cat>
            <c:strRef>
              <c:f>Sheet1!$A$2</c:f>
              <c:strCache>
                <c:ptCount val="1"/>
                <c:pt idx="0">
                  <c:v>一般公共预算财政拨款支出决算变动情况</c:v>
                </c:pt>
              </c:strCache>
            </c:strRef>
          </c:cat>
          <c:val>
            <c:numRef>
              <c:f>Sheet1!$C$2</c:f>
              <c:numCache>
                <c:formatCode>General</c:formatCode>
                <c:ptCount val="1"/>
                <c:pt idx="0">
                  <c:v>10487.2</c:v>
                </c:pt>
              </c:numCache>
            </c:numRef>
          </c:val>
        </c:ser>
        <c:dLbls>
          <c:showLegendKey val="0"/>
          <c:showVal val="0"/>
          <c:showCatName val="0"/>
          <c:showSerName val="0"/>
          <c:showPercent val="0"/>
          <c:showBubbleSize val="0"/>
        </c:dLbls>
        <c:gapWidth val="500"/>
        <c:overlap val="-40"/>
        <c:axId val="955469064"/>
        <c:axId val="470292284"/>
      </c:barChart>
      <c:catAx>
        <c:axId val="95546906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470292284"/>
        <c:crosses val="autoZero"/>
        <c:auto val="1"/>
        <c:lblAlgn val="ctr"/>
        <c:lblOffset val="100"/>
        <c:noMultiLvlLbl val="0"/>
      </c:catAx>
      <c:valAx>
        <c:axId val="470292284"/>
        <c:scaling>
          <c:orientation val="minMax"/>
        </c:scaling>
        <c:delete val="0"/>
        <c:axPos val="l"/>
        <c:majorGridlines>
          <c:spPr>
            <a:ln w="3175" cap="flat" cmpd="sng" algn="ctr">
              <a:solidFill>
                <a:srgbClr val="EAEAEA"/>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95546906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91908C"/>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gap"/>
    <c:showDLblsOverMax val="0"/>
  </c:chart>
  <c:spPr>
    <a:solidFill>
      <a:schemeClr val="bg1"/>
    </a:solidFill>
    <a:ln w="9525" cap="flat" cmpd="sng" algn="ctr">
      <a:solidFill>
        <a:srgbClr val="EAEAEA"/>
      </a:solidFill>
      <a:round/>
    </a:ln>
    <a:effectLst/>
  </c:spPr>
  <c:txPr>
    <a:bodyPr/>
    <a:lstStyle/>
    <a:p>
      <a:pPr>
        <a:defRPr lang="zh-CN">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manualLayout>
          <c:layoutTarget val="inner"/>
          <c:xMode val="edge"/>
          <c:yMode val="edge"/>
          <c:x val="0.106840620592384"/>
          <c:y val="0.332848837209302"/>
          <c:w val="0.461565585331453"/>
          <c:h val="0.634205426356589"/>
        </c:manualLayout>
      </c:layout>
      <c:pieChart>
        <c:varyColors val="1"/>
        <c:ser>
          <c:idx val="0"/>
          <c:order val="0"/>
          <c:tx>
            <c:strRef>
              <c:f>Sheet1!$B$1</c:f>
              <c:strCache>
                <c:ptCount val="1"/>
                <c:pt idx="0">
                  <c:v>系列 1</c:v>
                </c:pt>
              </c:strCache>
            </c:strRef>
          </c:tx>
          <c:spPr/>
          <c:explosion val="0"/>
          <c:dPt>
            <c:idx val="0"/>
            <c:bubble3D val="0"/>
            <c:spPr>
              <a:solidFill>
                <a:schemeClr val="accent1">
                  <a:shade val="65000"/>
                </a:schemeClr>
              </a:solidFill>
              <a:ln>
                <a:noFill/>
              </a:ln>
              <a:effectLst>
                <a:outerShdw blurRad="254000" sx="102000" sy="102000" algn="ctr" rotWithShape="0">
                  <a:prstClr val="black">
                    <a:alpha val="20000"/>
                  </a:prstClr>
                </a:outerShdw>
              </a:effectLst>
            </c:spPr>
          </c:dPt>
          <c:dPt>
            <c:idx val="1"/>
            <c:bubble3D val="0"/>
            <c:spPr>
              <a:solidFill>
                <a:schemeClr val="accent1"/>
              </a:solidFill>
              <a:ln>
                <a:noFill/>
              </a:ln>
              <a:effectLst>
                <a:outerShdw blurRad="254000" sx="102000" sy="102000" algn="ctr" rotWithShape="0">
                  <a:prstClr val="black">
                    <a:alpha val="20000"/>
                  </a:prstClr>
                </a:outerShdw>
              </a:effectLst>
            </c:spPr>
          </c:dPt>
          <c:dPt>
            <c:idx val="2"/>
            <c:bubble3D val="0"/>
            <c:spPr>
              <a:solidFill>
                <a:schemeClr val="accent1">
                  <a:tint val="65000"/>
                </a:schemeClr>
              </a:solidFill>
              <a:ln>
                <a:noFill/>
              </a:ln>
              <a:effectLst>
                <a:outerShdw blurRad="254000" sx="102000" sy="102000" algn="ctr" rotWithShape="0">
                  <a:prstClr val="black">
                    <a:alpha val="20000"/>
                  </a:prstClr>
                </a:outerShdw>
              </a:effectLst>
            </c:spPr>
          </c:dPt>
          <c:dLbls>
            <c:numFmt formatCode="General" sourceLinked="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社会保障和就业支出</c:v>
                </c:pt>
                <c:pt idx="1">
                  <c:v>卫生健康支出</c:v>
                </c:pt>
                <c:pt idx="2">
                  <c:v>农林水支出</c:v>
                </c:pt>
              </c:strCache>
            </c:strRef>
          </c:cat>
          <c:val>
            <c:numRef>
              <c:f>Sheet1!$B$2:$B$4</c:f>
              <c:numCache>
                <c:formatCode>General</c:formatCode>
                <c:ptCount val="3"/>
                <c:pt idx="0">
                  <c:v>2066.53</c:v>
                </c:pt>
                <c:pt idx="1">
                  <c:v>361.9</c:v>
                </c:pt>
                <c:pt idx="2">
                  <c:v>8058.85</c:v>
                </c:pt>
              </c:numCache>
            </c:numRef>
          </c:val>
        </c:ser>
        <c:ser>
          <c:idx val="1"/>
          <c:order val="1"/>
          <c:tx>
            <c:strRef>
              <c:f>Sheet1!#REF!</c:f>
              <c:strCache>
                <c:ptCount val="1"/>
                <c:pt idx="0">
                  <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Lbls>
            <c:numFmt formatCode="General" sourceLinked="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社会保障和就业支出</c:v>
                </c:pt>
                <c:pt idx="1">
                  <c:v>卫生健康支出</c:v>
                </c:pt>
                <c:pt idx="2">
                  <c:v>农林水支出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Lbls>
            <c:numFmt formatCode="General" sourceLinked="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社会保障和就业支出</c:v>
                </c:pt>
                <c:pt idx="1">
                  <c:v>卫生健康支出</c:v>
                </c:pt>
                <c:pt idx="2">
                  <c:v>农林水支出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CC7602-F64C-4C8E-92A1-821E23A4E59B}">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24</Pages>
  <Words>1299</Words>
  <Characters>7410</Characters>
  <Lines>61</Lines>
  <Paragraphs>17</Paragraphs>
  <TotalTime>11</TotalTime>
  <ScaleCrop>false</ScaleCrop>
  <LinksUpToDate>false</LinksUpToDate>
  <CharactersWithSpaces>8692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2020-08-04T01:49:00Z</dcterms:created>
  <dc:creator>曹颖</dc:creator>
  <cp:lastModifiedBy>曹月半.</cp:lastModifiedBy>
  <cp:lastPrinted>2021-07-29T03:56:00Z</cp:lastPrinted>
  <dcterms:modified xsi:type="dcterms:W3CDTF">2021-09-08T10:47:22Z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8629747117F24B0C878D7185F26A9334</vt:lpwstr>
  </property>
</Properties>
</file>