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default" w:ascii="方正小标宋简体" w:hAnsi="宋体" w:eastAsia="方正小标宋简体"/>
          <w:color w:val="auto"/>
          <w:sz w:val="30"/>
          <w:szCs w:val="30"/>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rPr>
      </w:pPr>
    </w:p>
    <w:p>
      <w:pPr>
        <w:spacing w:line="600" w:lineRule="exact"/>
        <w:jc w:val="center"/>
        <w:outlineLvl w:val="0"/>
        <w:rPr>
          <w:rFonts w:ascii="方正小标宋简体" w:hAnsi="宋体" w:eastAsia="方正小标宋简体"/>
          <w:color w:val="auto"/>
          <w:sz w:val="72"/>
          <w:szCs w:val="72"/>
        </w:rPr>
      </w:pPr>
    </w:p>
    <w:p>
      <w:pPr>
        <w:spacing w:line="600" w:lineRule="exact"/>
        <w:jc w:val="center"/>
        <w:outlineLvl w:val="0"/>
        <w:rPr>
          <w:rFonts w:ascii="方正小标宋简体" w:hAnsi="宋体" w:eastAsia="方正小标宋简体"/>
          <w:color w:val="auto"/>
          <w:sz w:val="72"/>
          <w:szCs w:val="72"/>
        </w:rPr>
      </w:pPr>
    </w:p>
    <w:p>
      <w:pPr>
        <w:adjustRightInd w:val="0"/>
        <w:snapToGrid w:val="0"/>
        <w:spacing w:line="360" w:lineRule="auto"/>
        <w:jc w:val="center"/>
        <w:outlineLvl w:val="0"/>
        <w:rPr>
          <w:rFonts w:ascii="方正小标宋简体" w:hAnsi="宋体" w:eastAsia="方正小标宋简体"/>
          <w:color w:val="auto"/>
          <w:sz w:val="72"/>
          <w:szCs w:val="72"/>
        </w:rPr>
      </w:pPr>
      <w:bookmarkStart w:id="1" w:name="_Toc15378441"/>
      <w:bookmarkStart w:id="2" w:name="_Toc15396597"/>
      <w:bookmarkStart w:id="3" w:name="_Toc15377425"/>
      <w:bookmarkStart w:id="4" w:name="_Toc15377193"/>
      <w:bookmarkStart w:id="5" w:name="_Toc15396475"/>
      <w:r>
        <w:rPr>
          <w:rFonts w:ascii="黑体" w:hAnsi="黑体" w:eastAsia="黑体"/>
          <w:color w:val="auto"/>
          <w:sz w:val="72"/>
          <w:szCs w:val="72"/>
        </w:rPr>
        <w:t>20</w:t>
      </w:r>
      <w:r>
        <w:rPr>
          <w:rFonts w:hint="eastAsia" w:ascii="黑体" w:hAnsi="黑体" w:eastAsia="黑体"/>
          <w:color w:val="auto"/>
          <w:sz w:val="72"/>
          <w:szCs w:val="72"/>
          <w:lang w:val="en-US" w:eastAsia="zh-CN"/>
        </w:rPr>
        <w:t>20</w:t>
      </w:r>
      <w:r>
        <w:rPr>
          <w:rFonts w:hint="eastAsia" w:ascii="方正小标宋简体" w:hAnsi="宋体" w:eastAsia="方正小标宋简体"/>
          <w:color w:val="auto"/>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宋体" w:eastAsia="方正小标宋简体"/>
          <w:color w:val="auto"/>
          <w:sz w:val="72"/>
          <w:szCs w:val="72"/>
        </w:rPr>
      </w:pPr>
      <w:bookmarkStart w:id="6" w:name="_Toc15377194"/>
      <w:bookmarkStart w:id="7" w:name="_Toc15377426"/>
      <w:bookmarkStart w:id="8" w:name="_Toc15396598"/>
      <w:bookmarkStart w:id="9" w:name="_Toc15378442"/>
      <w:bookmarkStart w:id="10" w:name="_Toc15396476"/>
      <w:bookmarkStart w:id="11" w:name="_Toc15306268"/>
      <w:r>
        <w:rPr>
          <w:rFonts w:hint="eastAsia" w:ascii="方正小标宋简体" w:hAnsi="宋体" w:eastAsia="方正小标宋简体"/>
          <w:color w:val="auto"/>
          <w:sz w:val="72"/>
          <w:szCs w:val="72"/>
        </w:rPr>
        <w:t>四川省都江堰人民渠</w:t>
      </w:r>
    </w:p>
    <w:p>
      <w:pPr>
        <w:adjustRightInd w:val="0"/>
        <w:snapToGrid w:val="0"/>
        <w:spacing w:line="360" w:lineRule="auto"/>
        <w:jc w:val="center"/>
        <w:outlineLvl w:val="0"/>
        <w:rPr>
          <w:rFonts w:ascii="方正小标宋简体" w:hAnsi="宋体" w:eastAsia="方正小标宋简体"/>
          <w:color w:val="auto"/>
          <w:sz w:val="72"/>
          <w:szCs w:val="72"/>
        </w:rPr>
      </w:pPr>
      <w:r>
        <w:rPr>
          <w:rFonts w:hint="eastAsia" w:ascii="方正小标宋简体" w:hAnsi="宋体" w:eastAsia="方正小标宋简体"/>
          <w:color w:val="auto"/>
          <w:sz w:val="72"/>
          <w:szCs w:val="72"/>
        </w:rPr>
        <w:t>第二管理处</w:t>
      </w:r>
      <w:r>
        <w:rPr>
          <w:rFonts w:hint="eastAsia" w:ascii="方正小标宋简体" w:hAnsi="宋体" w:eastAsia="方正小标宋简体"/>
          <w:color w:val="auto"/>
          <w:sz w:val="72"/>
          <w:szCs w:val="72"/>
          <w:lang w:val="en-US" w:eastAsia="zh-CN"/>
        </w:rPr>
        <w:t>单位</w:t>
      </w:r>
      <w:r>
        <w:rPr>
          <w:rFonts w:hint="eastAsia" w:ascii="方正小标宋简体" w:hAnsi="宋体" w:eastAsia="方正小标宋简体"/>
          <w:color w:val="auto"/>
          <w:sz w:val="72"/>
          <w:szCs w:val="72"/>
        </w:rPr>
        <w:t>决算</w:t>
      </w:r>
      <w:bookmarkEnd w:id="6"/>
      <w:bookmarkEnd w:id="7"/>
      <w:bookmarkEnd w:id="8"/>
      <w:bookmarkEnd w:id="9"/>
      <w:bookmarkEnd w:id="10"/>
      <w:bookmarkEnd w:id="11"/>
    </w:p>
    <w:p>
      <w:pPr>
        <w:widowControl/>
        <w:jc w:val="center"/>
        <w:rPr>
          <w:rFonts w:ascii="黑体" w:hAnsi="黑体" w:eastAsia="黑体"/>
          <w:color w:val="auto"/>
          <w:sz w:val="48"/>
          <w:szCs w:val="48"/>
        </w:rPr>
      </w:pPr>
      <w:r>
        <w:rPr>
          <w:rFonts w:ascii="方正小标宋简体" w:hAnsi="宋体" w:eastAsia="方正小标宋简体"/>
          <w:color w:val="auto"/>
          <w:sz w:val="36"/>
          <w:szCs w:val="36"/>
        </w:rPr>
        <w:br w:type="page"/>
      </w:r>
      <w:r>
        <w:rPr>
          <w:rFonts w:hint="eastAsia" w:ascii="黑体" w:hAnsi="黑体" w:eastAsia="黑体"/>
          <w:color w:val="auto"/>
          <w:sz w:val="48"/>
          <w:szCs w:val="48"/>
        </w:rPr>
        <w:t>目录</w:t>
      </w:r>
    </w:p>
    <w:p>
      <w:pPr>
        <w:widowControl/>
        <w:jc w:val="center"/>
        <w:rPr>
          <w:rFonts w:ascii="黑体" w:hAnsi="黑体" w:eastAsia="黑体" w:cstheme="minorBidi"/>
          <w:color w:val="auto"/>
          <w:sz w:val="28"/>
          <w:szCs w:val="28"/>
        </w:rPr>
      </w:pPr>
    </w:p>
    <w:p>
      <w:pPr>
        <w:pStyle w:val="11"/>
        <w:rPr>
          <w:rFonts w:hint="eastAsia" w:ascii="仿宋" w:hAnsi="仿宋" w:eastAsia="仿宋" w:cs="仿宋"/>
          <w:color w:val="auto"/>
          <w:sz w:val="32"/>
          <w:szCs w:val="32"/>
        </w:rPr>
      </w:pPr>
      <w:r>
        <w:rPr>
          <w:rFonts w:hint="eastAsia" w:ascii="仿宋" w:hAnsi="仿宋" w:eastAsia="仿宋" w:cs="仿宋"/>
          <w:color w:val="auto"/>
          <w:sz w:val="32"/>
          <w:szCs w:val="32"/>
        </w:rPr>
        <w:t>公开时间：20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w:t>
      </w:r>
    </w:p>
    <w:p>
      <w:pPr>
        <w:rPr>
          <w:rFonts w:hint="eastAsia" w:ascii="仿宋" w:hAnsi="仿宋" w:eastAsia="仿宋" w:cs="仿宋"/>
          <w:color w:val="auto"/>
          <w:sz w:val="32"/>
          <w:szCs w:val="32"/>
        </w:rPr>
      </w:pPr>
    </w:p>
    <w:p>
      <w:pPr>
        <w:pStyle w:val="11"/>
        <w:adjustRightInd w:val="0"/>
        <w:snapToGrid w:val="0"/>
        <w:spacing w:before="0"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第一部分 </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概况</w:t>
      </w:r>
    </w:p>
    <w:p>
      <w:pPr>
        <w:pStyle w:val="12"/>
        <w:adjustRightInd w:val="0"/>
        <w:snapToGrid w:val="0"/>
        <w:spacing w:line="440" w:lineRule="exact"/>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一、职能</w:t>
      </w:r>
      <w:r>
        <w:rPr>
          <w:rFonts w:hint="eastAsia" w:ascii="仿宋" w:hAnsi="仿宋" w:eastAsia="仿宋" w:cs="仿宋"/>
          <w:color w:val="auto"/>
          <w:sz w:val="32"/>
          <w:szCs w:val="32"/>
          <w:lang w:eastAsia="zh-CN"/>
        </w:rPr>
        <w:t>简介</w:t>
      </w:r>
    </w:p>
    <w:p>
      <w:pPr>
        <w:pStyle w:val="12"/>
        <w:adjustRightInd w:val="0"/>
        <w:snapToGrid w:val="0"/>
        <w:spacing w:line="440" w:lineRule="exact"/>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lang w:val="en-US" w:eastAsia="zh-CN"/>
        </w:rPr>
        <w:t>2020年重点</w:t>
      </w:r>
      <w:r>
        <w:rPr>
          <w:rFonts w:hint="eastAsia" w:ascii="仿宋" w:hAnsi="仿宋" w:eastAsia="仿宋" w:cs="仿宋"/>
          <w:color w:val="auto"/>
          <w:sz w:val="32"/>
          <w:szCs w:val="32"/>
        </w:rPr>
        <w:t>工作</w:t>
      </w:r>
      <w:r>
        <w:rPr>
          <w:rFonts w:hint="eastAsia" w:ascii="仿宋" w:hAnsi="仿宋" w:eastAsia="仿宋" w:cs="仿宋"/>
          <w:color w:val="auto"/>
          <w:sz w:val="32"/>
          <w:szCs w:val="32"/>
          <w:lang w:eastAsia="zh-CN"/>
        </w:rPr>
        <w:t>完成情况</w:t>
      </w:r>
    </w:p>
    <w:p>
      <w:pPr>
        <w:pStyle w:val="11"/>
        <w:adjustRightInd w:val="0"/>
        <w:snapToGrid w:val="0"/>
        <w:spacing w:before="0"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第二部分</w:t>
      </w:r>
      <w:r>
        <w:rPr>
          <w:rFonts w:hint="eastAsia" w:ascii="仿宋" w:hAnsi="仿宋" w:eastAsia="仿宋" w:cs="仿宋"/>
          <w:color w:val="auto"/>
          <w:sz w:val="32"/>
          <w:szCs w:val="32"/>
          <w:lang w:val="en-US" w:eastAsia="zh-CN"/>
        </w:rPr>
        <w:t xml:space="preserve"> 2020年度单位</w:t>
      </w:r>
      <w:r>
        <w:rPr>
          <w:rFonts w:hint="eastAsia" w:ascii="仿宋" w:hAnsi="仿宋" w:eastAsia="仿宋" w:cs="仿宋"/>
          <w:color w:val="auto"/>
          <w:sz w:val="32"/>
          <w:szCs w:val="32"/>
        </w:rPr>
        <w:t>决算情况说明</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一、收入支出决算总体情况说明</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二、收入决算情况说明</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三、支出决算情况说明</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四、财政拨款收入支出决算总体情况说明</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五、一般公共预算财政拨款支出决算情况说明</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六、一般公共预算财政拨款基本支出决算情况说明</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七、“三公”经费财政拨款支出决算情况说明</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八、政府性基金预算支出决算情况说明</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九、国有资本经营预算支出决算情况说明</w:t>
      </w:r>
    </w:p>
    <w:p>
      <w:pPr>
        <w:pStyle w:val="12"/>
        <w:adjustRightInd w:val="0"/>
        <w:snapToGrid w:val="0"/>
        <w:spacing w:line="440" w:lineRule="exact"/>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十、其他重要事项的情况说明</w:t>
      </w:r>
    </w:p>
    <w:p>
      <w:pPr>
        <w:pStyle w:val="11"/>
        <w:adjustRightInd w:val="0"/>
        <w:snapToGrid w:val="0"/>
        <w:spacing w:before="0"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第三部分 名词解释</w:t>
      </w:r>
    </w:p>
    <w:p>
      <w:pPr>
        <w:pStyle w:val="11"/>
        <w:adjustRightInd w:val="0"/>
        <w:snapToGrid w:val="0"/>
        <w:spacing w:before="0"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第四部分 附件</w:t>
      </w:r>
    </w:p>
    <w:p>
      <w:pPr>
        <w:pStyle w:val="11"/>
        <w:adjustRightInd w:val="0"/>
        <w:snapToGrid w:val="0"/>
        <w:spacing w:before="0"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第五部分 附表</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一、收入支出决算总表</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二、收入决算表</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三、支出决算表</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四、财政拨款收入支出决算总表</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五、财政拨款支出决算明细表</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六、一般公共预算财政拨款支出决算表</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七、一般公共预算财政拨款支出决算明细表</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八、一般公共预算财政拨款基本支出决算表</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九、一般公共预算财政拨款项目支出决算表</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十、一般公共预算财政拨款“三公”经费支出决算表</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十一、政府性基金预算财政拨款收入支出决算表</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十二、政府性基金预算财政拨款“三公”经费支出决算表</w:t>
      </w:r>
    </w:p>
    <w:p>
      <w:pPr>
        <w:pStyle w:val="12"/>
        <w:adjustRightInd w:val="0"/>
        <w:snapToGrid w:val="0"/>
        <w:spacing w:line="44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十三、国有资本经营预算</w:t>
      </w:r>
      <w:r>
        <w:rPr>
          <w:rFonts w:hint="eastAsia" w:ascii="仿宋" w:hAnsi="仿宋" w:eastAsia="仿宋" w:cs="仿宋"/>
          <w:color w:val="auto"/>
          <w:sz w:val="32"/>
          <w:szCs w:val="32"/>
          <w:lang w:eastAsia="zh-CN"/>
        </w:rPr>
        <w:t>财政拨款收入</w:t>
      </w:r>
      <w:r>
        <w:rPr>
          <w:rFonts w:hint="eastAsia" w:ascii="仿宋" w:hAnsi="仿宋" w:eastAsia="仿宋" w:cs="仿宋"/>
          <w:color w:val="auto"/>
          <w:sz w:val="32"/>
          <w:szCs w:val="32"/>
        </w:rPr>
        <w:t>支出决算表</w:t>
      </w:r>
    </w:p>
    <w:p>
      <w:pPr>
        <w:pStyle w:val="12"/>
        <w:adjustRightInd w:val="0"/>
        <w:snapToGrid w:val="0"/>
        <w:spacing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十四、国有资本经营预算财政拨款支出决算表</w:t>
      </w:r>
    </w:p>
    <w:p>
      <w:pPr>
        <w:widowControl/>
        <w:spacing w:line="440" w:lineRule="exact"/>
        <w:jc w:val="left"/>
        <w:rPr>
          <w:rFonts w:ascii="仿宋" w:hAnsi="仿宋" w:eastAsia="仿宋"/>
          <w:bCs/>
          <w:color w:val="auto"/>
          <w:kern w:val="44"/>
          <w:sz w:val="24"/>
        </w:rPr>
      </w:pPr>
      <w:bookmarkStart w:id="12" w:name="_Toc15396599"/>
      <w:bookmarkStart w:id="13" w:name="_Toc15377196"/>
      <w:r>
        <w:rPr>
          <w:rFonts w:ascii="仿宋" w:hAnsi="仿宋" w:eastAsia="仿宋"/>
          <w:b/>
          <w:color w:val="auto"/>
          <w:sz w:val="24"/>
        </w:rPr>
        <w:br w:type="page"/>
      </w:r>
    </w:p>
    <w:p>
      <w:pPr>
        <w:pStyle w:val="3"/>
        <w:jc w:val="center"/>
        <w:rPr>
          <w:rStyle w:val="26"/>
          <w:rFonts w:ascii="黑体" w:hAnsi="黑体" w:eastAsia="黑体"/>
          <w:b/>
          <w:bCs w:val="0"/>
          <w:color w:val="auto"/>
        </w:rPr>
      </w:pPr>
      <w:r>
        <w:rPr>
          <w:rFonts w:hint="eastAsia" w:ascii="黑体" w:hAnsi="黑体" w:eastAsia="黑体"/>
          <w:b w:val="0"/>
          <w:color w:val="auto"/>
        </w:rPr>
        <w:t xml:space="preserve">第一部分 </w:t>
      </w:r>
      <w:r>
        <w:rPr>
          <w:rFonts w:hint="eastAsia" w:ascii="黑体" w:hAnsi="黑体" w:eastAsia="黑体"/>
          <w:b w:val="0"/>
          <w:color w:val="auto"/>
          <w:lang w:eastAsia="zh-CN"/>
        </w:rPr>
        <w:t>单位</w:t>
      </w:r>
      <w:r>
        <w:rPr>
          <w:rStyle w:val="26"/>
          <w:rFonts w:hint="eastAsia" w:ascii="黑体" w:hAnsi="黑体" w:eastAsia="黑体"/>
          <w:b w:val="0"/>
          <w:bCs w:val="0"/>
          <w:color w:val="auto"/>
        </w:rPr>
        <w:t>概况</w:t>
      </w:r>
      <w:bookmarkEnd w:id="12"/>
      <w:bookmarkEnd w:id="13"/>
    </w:p>
    <w:p>
      <w:pPr>
        <w:pStyle w:val="4"/>
        <w:numPr>
          <w:ilvl w:val="0"/>
          <w:numId w:val="0"/>
        </w:numPr>
        <w:rPr>
          <w:rFonts w:hint="default" w:eastAsiaTheme="majorEastAsia"/>
          <w:color w:val="auto"/>
          <w:lang w:val="en-US" w:eastAsia="zh-CN"/>
        </w:rPr>
      </w:pPr>
      <w:bookmarkStart w:id="14" w:name="_Toc15377197"/>
      <w:bookmarkStart w:id="15" w:name="_Toc15396600"/>
      <w:r>
        <w:rPr>
          <w:rFonts w:hint="eastAsia"/>
          <w:color w:val="auto"/>
          <w:lang w:val="en-US" w:eastAsia="zh-CN"/>
        </w:rPr>
        <w:t xml:space="preserve">    一、</w:t>
      </w:r>
      <w:r>
        <w:rPr>
          <w:rStyle w:val="27"/>
          <w:rFonts w:hint="eastAsia" w:ascii="黑体" w:hAnsi="黑体" w:eastAsia="黑体"/>
          <w:b w:val="0"/>
          <w:bCs w:val="0"/>
          <w:color w:val="auto"/>
        </w:rPr>
        <w:t>职能</w:t>
      </w:r>
      <w:r>
        <w:rPr>
          <w:rStyle w:val="27"/>
          <w:rFonts w:hint="eastAsia" w:ascii="黑体" w:hAnsi="黑体" w:eastAsia="黑体"/>
          <w:b w:val="0"/>
          <w:bCs w:val="0"/>
          <w:color w:val="auto"/>
          <w:lang w:eastAsia="zh-CN"/>
        </w:rPr>
        <w:t>简介</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川省都江堰人民渠第二管理处（以下简称人民渠二处）是省水利厅直属的大型水利工程灌区管理事业单位，承担着成都、德阳、绵阳、遂宁四市十县（区）的农业灌溉供水和部分城乡的生活、生态和环境用水任务。</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人民渠二处管理着人民渠五七期、人民渠六期、鲁联干渠共计314公里主干渠和一座大（Ⅱ）型水库——鲁班水库，设计灌面278.37万亩，有效灌面201.31万亩，是都江堰灌区的重要组成部分。经过多年的传承和发展，形成以蓄为主，蓄、引、提相结合的综合利用大型灌区。管理处内设13个职能科室和6个基层单位，其中5个渠道管理站、1个灌溉试验站。另有处属电站2个。</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作为都江堰灌区以丘陵为主的尾水灌区，多年来，人民渠二处围绕春灌、防汛抗旱、秋蓄、冬修四项主要内容，把服务灌区放在首位，以保民生为重点，促进灌区稳定与发展，确保灌区的用水安用、粮食安全。经过人民渠几代人的建设发展与精心管理，水利工程的防洪能力和输水能力不断提高。“十四.五”期间，人民渠二处将继续围绕“再造一个都江堰灌区”核心目标，完成防汛抗旱、节水灌溉、多元化供水、水生态环境保护、水利改革和管理等建设任务，为治水兴川事业再建新功。</w:t>
      </w:r>
    </w:p>
    <w:p>
      <w:pPr>
        <w:pStyle w:val="4"/>
        <w:numPr>
          <w:ilvl w:val="0"/>
          <w:numId w:val="0"/>
        </w:numPr>
        <w:ind w:firstLine="640" w:firstLineChars="200"/>
        <w:rPr>
          <w:rFonts w:hint="eastAsia" w:ascii="黑体" w:hAnsi="黑体" w:eastAsia="黑体"/>
          <w:b w:val="0"/>
          <w:color w:val="auto"/>
          <w:sz w:val="32"/>
          <w:szCs w:val="32"/>
        </w:rPr>
      </w:pPr>
      <w:r>
        <w:rPr>
          <w:rFonts w:hint="eastAsia" w:ascii="黑体" w:hAnsi="黑体" w:eastAsia="黑体"/>
          <w:b w:val="0"/>
          <w:color w:val="auto"/>
          <w:sz w:val="32"/>
          <w:szCs w:val="32"/>
          <w:lang w:val="en-US" w:eastAsia="zh-CN"/>
        </w:rPr>
        <w:t>二、2020年重点</w:t>
      </w:r>
      <w:r>
        <w:rPr>
          <w:rFonts w:hint="eastAsia" w:ascii="黑体" w:hAnsi="黑体" w:eastAsia="黑体"/>
          <w:b w:val="0"/>
          <w:color w:val="auto"/>
          <w:sz w:val="32"/>
          <w:szCs w:val="32"/>
        </w:rPr>
        <w:t>工作</w:t>
      </w:r>
      <w:bookmarkEnd w:id="14"/>
      <w:bookmarkEnd w:id="15"/>
      <w:r>
        <w:rPr>
          <w:rFonts w:hint="eastAsia" w:ascii="黑体" w:hAnsi="黑体" w:eastAsia="黑体"/>
          <w:b w:val="0"/>
          <w:color w:val="auto"/>
          <w:sz w:val="32"/>
          <w:szCs w:val="32"/>
          <w:lang w:eastAsia="zh-CN"/>
        </w:rPr>
        <w:t>完成情况</w:t>
      </w:r>
    </w:p>
    <w:p>
      <w:pPr>
        <w:ind w:firstLine="645"/>
        <w:rPr>
          <w:rFonts w:ascii="楷体" w:hAnsi="楷体" w:eastAsia="楷体"/>
          <w:b w:val="0"/>
          <w:bCs/>
          <w:color w:val="auto"/>
          <w:sz w:val="32"/>
          <w:szCs w:val="32"/>
        </w:rPr>
      </w:pPr>
      <w:r>
        <w:rPr>
          <w:rFonts w:hint="eastAsia" w:ascii="楷体" w:hAnsi="楷体" w:eastAsia="楷体"/>
          <w:b w:val="0"/>
          <w:bCs/>
          <w:color w:val="auto"/>
          <w:sz w:val="32"/>
          <w:szCs w:val="32"/>
        </w:rPr>
        <w:t>（一）围绕中心工作</w:t>
      </w:r>
      <w:r>
        <w:rPr>
          <w:rFonts w:ascii="楷体" w:hAnsi="楷体" w:eastAsia="楷体"/>
          <w:b w:val="0"/>
          <w:bCs/>
          <w:color w:val="auto"/>
          <w:sz w:val="32"/>
          <w:szCs w:val="32"/>
        </w:rPr>
        <w:t>,突出重点难点,狠抓工作落实</w:t>
      </w:r>
    </w:p>
    <w:p>
      <w:pPr>
        <w:ind w:firstLine="643" w:firstLineChars="200"/>
        <w:rPr>
          <w:rFonts w:ascii="仿宋" w:hAnsi="仿宋" w:eastAsia="仿宋"/>
          <w:b/>
          <w:color w:val="auto"/>
          <w:sz w:val="32"/>
          <w:szCs w:val="32"/>
        </w:rPr>
      </w:pPr>
      <w:r>
        <w:rPr>
          <w:rFonts w:hint="eastAsia" w:ascii="仿宋" w:hAnsi="仿宋" w:eastAsia="仿宋"/>
          <w:b/>
          <w:color w:val="auto"/>
          <w:sz w:val="32"/>
          <w:szCs w:val="32"/>
        </w:rPr>
        <w:t>1.着力供水服务，水安全保障体系不断巩固</w:t>
      </w:r>
    </w:p>
    <w:p>
      <w:pPr>
        <w:ind w:firstLine="645"/>
        <w:rPr>
          <w:rFonts w:ascii="仿宋_GB2312" w:eastAsia="仿宋_GB2312"/>
          <w:color w:val="auto"/>
          <w:sz w:val="32"/>
          <w:szCs w:val="32"/>
        </w:rPr>
      </w:pPr>
      <w:r>
        <w:rPr>
          <w:rFonts w:hint="eastAsia" w:ascii="仿宋" w:hAnsi="仿宋" w:eastAsia="仿宋"/>
          <w:color w:val="auto"/>
          <w:sz w:val="32"/>
          <w:szCs w:val="32"/>
        </w:rPr>
        <w:t>人民渠二处始终牢记水管单位公益性，以建立健全灌区联动机制为桥梁，不断强化服务意识；以合同供水、计量用水、计量收费为主要途径，切实保障灌区均衡收益。</w:t>
      </w:r>
      <w:r>
        <w:rPr>
          <w:rFonts w:hint="eastAsia" w:ascii="仿宋_GB2312" w:eastAsia="仿宋_GB2312"/>
          <w:color w:val="auto"/>
          <w:sz w:val="32"/>
          <w:szCs w:val="32"/>
        </w:rPr>
        <w:t>2020年，人民渠二处与灌区签订农业供水合同13 份，与非农用水户签订供水合同10份，与罗江县签订战略合作框架协议1份。全年引都江堰水</w:t>
      </w:r>
      <w:r>
        <w:rPr>
          <w:rFonts w:ascii="仿宋_GB2312" w:eastAsia="仿宋_GB2312"/>
          <w:color w:val="auto"/>
          <w:sz w:val="32"/>
          <w:szCs w:val="32"/>
        </w:rPr>
        <w:t>5.89亿立方米，拦引径流0.75亿立方米；向供水受益区供水4.43亿立方米，其中农业供水3.87亿立方米、生活供水0.29亿立方米、生态供水0.27亿立方米，鲁班水库及灌区补充蓄水0.9亿立方米。</w:t>
      </w:r>
    </w:p>
    <w:p>
      <w:pPr>
        <w:ind w:firstLine="645"/>
        <w:rPr>
          <w:rFonts w:ascii="仿宋" w:hAnsi="仿宋" w:eastAsia="仿宋"/>
          <w:color w:val="auto"/>
          <w:sz w:val="32"/>
          <w:szCs w:val="32"/>
        </w:rPr>
      </w:pPr>
      <w:r>
        <w:rPr>
          <w:rFonts w:hint="eastAsia" w:ascii="仿宋" w:hAnsi="仿宋" w:eastAsia="仿宋"/>
          <w:b/>
          <w:color w:val="auto"/>
          <w:sz w:val="32"/>
          <w:szCs w:val="32"/>
        </w:rPr>
        <w:t>多措并举解民生用水之“困”。</w:t>
      </w:r>
      <w:r>
        <w:rPr>
          <w:rFonts w:hint="eastAsia" w:ascii="仿宋" w:hAnsi="仿宋" w:eastAsia="仿宋"/>
          <w:color w:val="auto"/>
          <w:sz w:val="32"/>
          <w:szCs w:val="32"/>
        </w:rPr>
        <w:t>去冬今春，人民渠二处灌区</w:t>
      </w:r>
      <w:r>
        <w:rPr>
          <w:rFonts w:ascii="仿宋" w:hAnsi="仿宋" w:eastAsia="仿宋"/>
          <w:color w:val="auto"/>
          <w:sz w:val="32"/>
          <w:szCs w:val="32"/>
        </w:rPr>
        <w:t>气温攀升迅速</w:t>
      </w:r>
      <w:r>
        <w:rPr>
          <w:rFonts w:hint="eastAsia" w:ascii="仿宋" w:hAnsi="仿宋" w:eastAsia="仿宋"/>
          <w:color w:val="auto"/>
          <w:sz w:val="32"/>
          <w:szCs w:val="32"/>
        </w:rPr>
        <w:t>,平均气温</w:t>
      </w:r>
      <w:r>
        <w:rPr>
          <w:rFonts w:ascii="仿宋" w:hAnsi="仿宋" w:eastAsia="仿宋"/>
          <w:color w:val="auto"/>
          <w:sz w:val="32"/>
          <w:szCs w:val="32"/>
        </w:rPr>
        <w:t>超过历史同期</w:t>
      </w:r>
      <w:r>
        <w:rPr>
          <w:rFonts w:hint="eastAsia" w:ascii="仿宋" w:hAnsi="仿宋" w:eastAsia="仿宋"/>
          <w:color w:val="auto"/>
          <w:sz w:val="32"/>
          <w:szCs w:val="32"/>
        </w:rPr>
        <w:t>，降雨量在常年一半左右，干旱情况严重，用水</w:t>
      </w:r>
      <w:r>
        <w:rPr>
          <w:rFonts w:ascii="仿宋" w:hAnsi="仿宋" w:eastAsia="仿宋"/>
          <w:color w:val="auto"/>
          <w:sz w:val="32"/>
          <w:szCs w:val="32"/>
        </w:rPr>
        <w:t>形势</w:t>
      </w:r>
      <w:r>
        <w:rPr>
          <w:rFonts w:hint="eastAsia" w:ascii="仿宋" w:hAnsi="仿宋" w:eastAsia="仿宋"/>
          <w:color w:val="auto"/>
          <w:sz w:val="32"/>
          <w:szCs w:val="32"/>
        </w:rPr>
        <w:t>异常</w:t>
      </w:r>
      <w:r>
        <w:rPr>
          <w:rFonts w:ascii="仿宋" w:hAnsi="仿宋" w:eastAsia="仿宋"/>
          <w:color w:val="auto"/>
          <w:sz w:val="32"/>
          <w:szCs w:val="32"/>
        </w:rPr>
        <w:t>严峻</w:t>
      </w:r>
      <w:r>
        <w:rPr>
          <w:rFonts w:hint="eastAsia" w:ascii="仿宋" w:hAnsi="仿宋" w:eastAsia="仿宋"/>
          <w:color w:val="auto"/>
          <w:sz w:val="32"/>
          <w:szCs w:val="32"/>
        </w:rPr>
        <w:t>。对此</w:t>
      </w:r>
      <w:r>
        <w:rPr>
          <w:rFonts w:hint="eastAsia" w:ascii="仿宋_GB2312" w:hAnsi="仿宋" w:eastAsia="仿宋_GB2312"/>
          <w:color w:val="auto"/>
          <w:sz w:val="32"/>
          <w:szCs w:val="32"/>
        </w:rPr>
        <w:t>，人民渠</w:t>
      </w:r>
      <w:r>
        <w:rPr>
          <w:rFonts w:ascii="仿宋_GB2312" w:hAnsi="仿宋" w:eastAsia="仿宋_GB2312"/>
          <w:color w:val="auto"/>
          <w:sz w:val="32"/>
          <w:szCs w:val="32"/>
        </w:rPr>
        <w:t>二处</w:t>
      </w:r>
      <w:r>
        <w:rPr>
          <w:rFonts w:hint="eastAsia" w:ascii="仿宋" w:hAnsi="仿宋" w:eastAsia="仿宋"/>
          <w:color w:val="auto"/>
          <w:sz w:val="32"/>
          <w:szCs w:val="32"/>
        </w:rPr>
        <w:t>高度重视</w:t>
      </w:r>
      <w:r>
        <w:rPr>
          <w:rFonts w:ascii="仿宋" w:hAnsi="仿宋" w:eastAsia="仿宋"/>
          <w:color w:val="auto"/>
          <w:sz w:val="32"/>
          <w:szCs w:val="32"/>
        </w:rPr>
        <w:t>，</w:t>
      </w:r>
      <w:r>
        <w:rPr>
          <w:rFonts w:hint="eastAsia" w:ascii="仿宋" w:hAnsi="仿宋" w:eastAsia="仿宋"/>
          <w:color w:val="auto"/>
          <w:sz w:val="32"/>
          <w:szCs w:val="32"/>
        </w:rPr>
        <w:t>从2月3日上班</w:t>
      </w:r>
      <w:r>
        <w:rPr>
          <w:rFonts w:ascii="仿宋" w:hAnsi="仿宋" w:eastAsia="仿宋"/>
          <w:color w:val="auto"/>
          <w:sz w:val="32"/>
          <w:szCs w:val="32"/>
        </w:rPr>
        <w:t>开始，</w:t>
      </w:r>
      <w:r>
        <w:rPr>
          <w:rFonts w:hint="eastAsia" w:ascii="仿宋" w:hAnsi="仿宋" w:eastAsia="仿宋"/>
          <w:color w:val="auto"/>
          <w:sz w:val="32"/>
          <w:szCs w:val="32"/>
        </w:rPr>
        <w:t>干部职工克服疫情的不利影响，主动到灌区</w:t>
      </w:r>
      <w:r>
        <w:rPr>
          <w:rFonts w:ascii="仿宋" w:hAnsi="仿宋" w:eastAsia="仿宋"/>
          <w:color w:val="auto"/>
          <w:sz w:val="32"/>
          <w:szCs w:val="32"/>
        </w:rPr>
        <w:t>调研</w:t>
      </w:r>
      <w:r>
        <w:rPr>
          <w:rFonts w:hint="eastAsia" w:ascii="仿宋" w:hAnsi="仿宋" w:eastAsia="仿宋"/>
          <w:color w:val="auto"/>
          <w:sz w:val="32"/>
          <w:szCs w:val="32"/>
        </w:rPr>
        <w:t>，积极向上</w:t>
      </w:r>
      <w:r>
        <w:rPr>
          <w:rFonts w:hint="eastAsia" w:ascii="仿宋_GB2312" w:hAnsi="仿宋" w:eastAsia="仿宋_GB2312"/>
          <w:color w:val="auto"/>
          <w:sz w:val="32"/>
          <w:szCs w:val="32"/>
        </w:rPr>
        <w:t>争取水源，同时</w:t>
      </w:r>
      <w:r>
        <w:rPr>
          <w:rFonts w:hint="eastAsia" w:ascii="仿宋" w:hAnsi="仿宋" w:eastAsia="仿宋"/>
          <w:color w:val="auto"/>
          <w:sz w:val="32"/>
          <w:szCs w:val="32"/>
        </w:rPr>
        <w:t>不断调整供水方案，缓解灌区用水矛盾。在分管厅领导的亲自关心下，在农水局、都管局的帮助和人民渠一处的</w:t>
      </w:r>
      <w:r>
        <w:rPr>
          <w:rFonts w:ascii="仿宋" w:hAnsi="仿宋" w:eastAsia="仿宋"/>
          <w:color w:val="auto"/>
          <w:sz w:val="32"/>
          <w:szCs w:val="32"/>
        </w:rPr>
        <w:t>大力支持下</w:t>
      </w:r>
      <w:r>
        <w:rPr>
          <w:rFonts w:hint="eastAsia" w:ascii="仿宋" w:hAnsi="仿宋" w:eastAsia="仿宋"/>
          <w:color w:val="auto"/>
          <w:sz w:val="32"/>
          <w:szCs w:val="32"/>
        </w:rPr>
        <w:t>，与</w:t>
      </w:r>
      <w:r>
        <w:rPr>
          <w:rFonts w:ascii="仿宋" w:hAnsi="仿宋" w:eastAsia="仿宋"/>
          <w:color w:val="auto"/>
          <w:sz w:val="32"/>
          <w:szCs w:val="32"/>
        </w:rPr>
        <w:t>灌区各方</w:t>
      </w:r>
      <w:r>
        <w:rPr>
          <w:rFonts w:hint="eastAsia" w:ascii="仿宋" w:hAnsi="仿宋" w:eastAsia="仿宋"/>
          <w:color w:val="auto"/>
          <w:sz w:val="32"/>
          <w:szCs w:val="32"/>
        </w:rPr>
        <w:t>紧密协作</w:t>
      </w:r>
      <w:r>
        <w:rPr>
          <w:rFonts w:ascii="仿宋" w:hAnsi="仿宋" w:eastAsia="仿宋"/>
          <w:color w:val="auto"/>
          <w:sz w:val="32"/>
          <w:szCs w:val="32"/>
        </w:rPr>
        <w:t>，</w:t>
      </w:r>
      <w:r>
        <w:rPr>
          <w:rFonts w:hint="eastAsia" w:ascii="仿宋" w:hAnsi="仿宋" w:eastAsia="仿宋"/>
          <w:color w:val="auto"/>
          <w:sz w:val="32"/>
          <w:szCs w:val="32"/>
        </w:rPr>
        <w:t>春灌期间向灌区输抗旱水源约2</w:t>
      </w:r>
      <w:r>
        <w:rPr>
          <w:rFonts w:ascii="仿宋" w:hAnsi="仿宋" w:eastAsia="仿宋"/>
          <w:color w:val="auto"/>
          <w:sz w:val="32"/>
          <w:szCs w:val="32"/>
        </w:rPr>
        <w:t>200</w:t>
      </w:r>
      <w:r>
        <w:rPr>
          <w:rFonts w:hint="eastAsia" w:ascii="仿宋" w:hAnsi="仿宋" w:eastAsia="仿宋"/>
          <w:color w:val="auto"/>
          <w:sz w:val="32"/>
          <w:szCs w:val="32"/>
        </w:rPr>
        <w:t>万方，实现</w:t>
      </w:r>
      <w:r>
        <w:rPr>
          <w:rFonts w:ascii="仿宋" w:hAnsi="仿宋" w:eastAsia="仿宋"/>
          <w:color w:val="auto"/>
          <w:sz w:val="32"/>
          <w:szCs w:val="32"/>
        </w:rPr>
        <w:t>于6月21日关秧门</w:t>
      </w:r>
      <w:r>
        <w:rPr>
          <w:rFonts w:hint="eastAsia" w:ascii="仿宋" w:hAnsi="仿宋" w:eastAsia="仿宋"/>
          <w:color w:val="auto"/>
          <w:sz w:val="32"/>
          <w:szCs w:val="32"/>
        </w:rPr>
        <w:t>，</w:t>
      </w:r>
      <w:r>
        <w:rPr>
          <w:rFonts w:ascii="仿宋" w:hAnsi="仿宋" w:eastAsia="仿宋"/>
          <w:color w:val="auto"/>
          <w:sz w:val="32"/>
          <w:szCs w:val="32"/>
        </w:rPr>
        <w:t>完成水稻栽插面积109.24万亩，保障了金堂、罗江、中江、三台等城镇居民饮水安全</w:t>
      </w:r>
      <w:r>
        <w:rPr>
          <w:rFonts w:hint="eastAsia" w:ascii="仿宋" w:hAnsi="仿宋" w:eastAsia="仿宋"/>
          <w:color w:val="auto"/>
          <w:sz w:val="32"/>
          <w:szCs w:val="32"/>
        </w:rPr>
        <w:t>。德阳市</w:t>
      </w:r>
      <w:r>
        <w:rPr>
          <w:rFonts w:ascii="仿宋" w:hAnsi="仿宋" w:eastAsia="仿宋"/>
          <w:color w:val="auto"/>
          <w:sz w:val="32"/>
          <w:szCs w:val="32"/>
        </w:rPr>
        <w:t>水利局向人民渠二处致感谢信，</w:t>
      </w:r>
      <w:r>
        <w:rPr>
          <w:rFonts w:hint="eastAsia" w:ascii="仿宋" w:hAnsi="仿宋" w:eastAsia="仿宋"/>
          <w:color w:val="auto"/>
          <w:sz w:val="32"/>
          <w:szCs w:val="32"/>
        </w:rPr>
        <w:t>灌区水利部门和乡镇村委纷纷送来</w:t>
      </w:r>
      <w:r>
        <w:rPr>
          <w:rFonts w:ascii="仿宋" w:hAnsi="仿宋" w:eastAsia="仿宋"/>
          <w:color w:val="auto"/>
          <w:sz w:val="32"/>
          <w:szCs w:val="32"/>
        </w:rPr>
        <w:t>锦旗，</w:t>
      </w:r>
      <w:r>
        <w:rPr>
          <w:rFonts w:hint="eastAsia" w:ascii="仿宋" w:hAnsi="仿宋" w:eastAsia="仿宋"/>
          <w:color w:val="auto"/>
          <w:sz w:val="32"/>
          <w:szCs w:val="32"/>
        </w:rPr>
        <w:t>供水服务得到灌区的</w:t>
      </w:r>
      <w:r>
        <w:rPr>
          <w:rFonts w:ascii="仿宋" w:hAnsi="仿宋" w:eastAsia="仿宋"/>
          <w:color w:val="auto"/>
          <w:sz w:val="32"/>
          <w:szCs w:val="32"/>
        </w:rPr>
        <w:t>高度肯定。</w:t>
      </w:r>
    </w:p>
    <w:p>
      <w:pPr>
        <w:ind w:firstLine="643" w:firstLineChars="200"/>
        <w:rPr>
          <w:rFonts w:ascii="仿宋" w:hAnsi="仿宋" w:eastAsia="仿宋"/>
          <w:color w:val="auto"/>
          <w:sz w:val="32"/>
          <w:szCs w:val="32"/>
        </w:rPr>
      </w:pPr>
      <w:r>
        <w:rPr>
          <w:rFonts w:hint="eastAsia" w:ascii="仿宋" w:hAnsi="仿宋" w:eastAsia="仿宋"/>
          <w:b/>
          <w:color w:val="auto"/>
          <w:sz w:val="32"/>
          <w:szCs w:val="32"/>
        </w:rPr>
        <w:t>抢先抓早，为供水区发展规划提供水安全保障。</w:t>
      </w:r>
      <w:r>
        <w:rPr>
          <w:rFonts w:hint="eastAsia" w:ascii="仿宋" w:hAnsi="仿宋" w:eastAsia="仿宋"/>
          <w:color w:val="auto"/>
          <w:sz w:val="32"/>
          <w:szCs w:val="32"/>
        </w:rPr>
        <w:t>2</w:t>
      </w:r>
      <w:r>
        <w:rPr>
          <w:rFonts w:ascii="仿宋" w:hAnsi="仿宋" w:eastAsia="仿宋"/>
          <w:color w:val="auto"/>
          <w:sz w:val="32"/>
          <w:szCs w:val="32"/>
        </w:rPr>
        <w:t>020</w:t>
      </w:r>
      <w:r>
        <w:rPr>
          <w:rFonts w:hint="eastAsia" w:ascii="仿宋" w:hAnsi="仿宋" w:eastAsia="仿宋"/>
          <w:color w:val="auto"/>
          <w:sz w:val="32"/>
          <w:szCs w:val="32"/>
        </w:rPr>
        <w:t>年，围绕“一干多支、五区协同”区域发展新格局，积极对接淮州新城区水资源需求，审查金堂县羊毛沟水库配水定额的方案；提前做好灌区水资源规划，参与中江县各片区水资源配置规划审查报告会，为其石泉水库、响滩子水厂的取水方案提出优化建议；保障灌区生活水源供给，组织审查华强沟水库冲水洗库方案、罗江区建立饮用水备用水源取水口的方案，不断提高水利服务的主动性，为地方规划提供行业保障。</w:t>
      </w:r>
    </w:p>
    <w:p>
      <w:pPr>
        <w:ind w:firstLine="643" w:firstLineChars="200"/>
        <w:rPr>
          <w:rFonts w:ascii="仿宋" w:hAnsi="仿宋" w:eastAsia="仿宋"/>
          <w:b/>
          <w:color w:val="auto"/>
          <w:sz w:val="32"/>
          <w:szCs w:val="32"/>
        </w:rPr>
      </w:pPr>
      <w:r>
        <w:rPr>
          <w:rFonts w:hint="eastAsia" w:ascii="仿宋" w:hAnsi="仿宋" w:eastAsia="仿宋"/>
          <w:b/>
          <w:color w:val="auto"/>
          <w:sz w:val="32"/>
          <w:szCs w:val="32"/>
        </w:rPr>
        <w:t>2.补齐工程短板，</w:t>
      </w:r>
      <w:r>
        <w:rPr>
          <w:rFonts w:ascii="仿宋" w:hAnsi="仿宋" w:eastAsia="仿宋"/>
          <w:b/>
          <w:color w:val="auto"/>
          <w:sz w:val="32"/>
          <w:szCs w:val="32"/>
        </w:rPr>
        <w:t>水利工程提档升级</w:t>
      </w:r>
      <w:r>
        <w:rPr>
          <w:rFonts w:hint="eastAsia" w:ascii="仿宋" w:hAnsi="仿宋" w:eastAsia="仿宋"/>
          <w:b/>
          <w:color w:val="auto"/>
          <w:sz w:val="32"/>
          <w:szCs w:val="32"/>
        </w:rPr>
        <w:t>不断推进</w:t>
      </w:r>
    </w:p>
    <w:p>
      <w:pPr>
        <w:ind w:firstLine="643" w:firstLineChars="200"/>
        <w:rPr>
          <w:rFonts w:ascii="仿宋" w:hAnsi="仿宋" w:eastAsia="仿宋"/>
          <w:color w:val="auto"/>
          <w:sz w:val="32"/>
          <w:szCs w:val="32"/>
        </w:rPr>
      </w:pPr>
      <w:r>
        <w:rPr>
          <w:rFonts w:hint="eastAsia" w:ascii="仿宋" w:hAnsi="仿宋" w:eastAsia="仿宋"/>
          <w:b/>
          <w:color w:val="auto"/>
          <w:sz w:val="32"/>
          <w:szCs w:val="32"/>
        </w:rPr>
        <w:t>全力攻坚，加快推进重点工程项目建设工期。</w:t>
      </w:r>
      <w:r>
        <w:rPr>
          <w:rFonts w:hint="eastAsia" w:ascii="仿宋" w:hAnsi="仿宋" w:eastAsia="仿宋"/>
          <w:color w:val="auto"/>
          <w:sz w:val="32"/>
          <w:szCs w:val="32"/>
        </w:rPr>
        <w:t>在做好疫情防控的同时，人民渠二处加快推进重点水利工程建设项目恢复生产。红旗分干渠项目于</w:t>
      </w:r>
      <w:r>
        <w:rPr>
          <w:rFonts w:ascii="仿宋" w:hAnsi="仿宋" w:eastAsia="仿宋"/>
          <w:color w:val="auto"/>
          <w:sz w:val="32"/>
          <w:szCs w:val="32"/>
        </w:rPr>
        <w:t>2月24日复工，参建各方全力攻坚</w:t>
      </w:r>
      <w:r>
        <w:rPr>
          <w:rFonts w:hint="eastAsia" w:ascii="仿宋" w:hAnsi="仿宋" w:eastAsia="仿宋"/>
          <w:color w:val="auto"/>
          <w:sz w:val="32"/>
          <w:szCs w:val="32"/>
        </w:rPr>
        <w:t>，已于</w:t>
      </w:r>
      <w:r>
        <w:rPr>
          <w:rFonts w:hint="eastAsia" w:ascii="仿宋" w:hAnsi="仿宋" w:eastAsia="仿宋" w:cs="仿宋"/>
          <w:color w:val="auto"/>
          <w:sz w:val="32"/>
          <w:szCs w:val="32"/>
        </w:rPr>
        <w:t>10月25日实现全线贯通。目前，已累计</w:t>
      </w:r>
      <w:r>
        <w:rPr>
          <w:rFonts w:ascii="仿宋" w:hAnsi="仿宋" w:eastAsia="仿宋" w:cs="仿宋"/>
          <w:color w:val="auto"/>
          <w:sz w:val="32"/>
          <w:szCs w:val="32"/>
        </w:rPr>
        <w:t>完成隧洞钢筋混凝土衬砌5400米，完成比例67%，有</w:t>
      </w:r>
      <w:r>
        <w:rPr>
          <w:rFonts w:ascii="仿宋" w:hAnsi="仿宋" w:eastAsia="仿宋"/>
          <w:color w:val="auto"/>
          <w:sz w:val="32"/>
          <w:szCs w:val="32"/>
        </w:rPr>
        <w:t>望在</w:t>
      </w:r>
      <w:r>
        <w:rPr>
          <w:rFonts w:hint="eastAsia" w:ascii="仿宋" w:hAnsi="仿宋" w:eastAsia="仿宋"/>
          <w:color w:val="auto"/>
          <w:sz w:val="32"/>
          <w:szCs w:val="32"/>
        </w:rPr>
        <w:t>2</w:t>
      </w:r>
      <w:r>
        <w:rPr>
          <w:rFonts w:ascii="仿宋" w:hAnsi="仿宋" w:eastAsia="仿宋"/>
          <w:color w:val="auto"/>
          <w:sz w:val="32"/>
          <w:szCs w:val="32"/>
        </w:rPr>
        <w:t>021</w:t>
      </w:r>
      <w:r>
        <w:rPr>
          <w:rFonts w:hint="eastAsia" w:ascii="仿宋" w:hAnsi="仿宋" w:eastAsia="仿宋"/>
          <w:color w:val="auto"/>
          <w:sz w:val="32"/>
          <w:szCs w:val="32"/>
        </w:rPr>
        <w:t>年</w:t>
      </w:r>
      <w:r>
        <w:rPr>
          <w:rFonts w:ascii="仿宋" w:hAnsi="仿宋" w:eastAsia="仿宋"/>
          <w:color w:val="auto"/>
          <w:sz w:val="32"/>
          <w:szCs w:val="32"/>
        </w:rPr>
        <w:t>实现</w:t>
      </w:r>
      <w:r>
        <w:rPr>
          <w:rFonts w:hint="eastAsia" w:ascii="仿宋" w:hAnsi="仿宋" w:eastAsia="仿宋"/>
          <w:color w:val="auto"/>
          <w:sz w:val="32"/>
          <w:szCs w:val="32"/>
        </w:rPr>
        <w:t>通水</w:t>
      </w:r>
      <w:r>
        <w:rPr>
          <w:rFonts w:ascii="仿宋" w:hAnsi="仿宋" w:eastAsia="仿宋"/>
          <w:color w:val="auto"/>
          <w:sz w:val="32"/>
          <w:szCs w:val="32"/>
        </w:rPr>
        <w:t>。</w:t>
      </w:r>
      <w:r>
        <w:rPr>
          <w:rFonts w:hint="eastAsia" w:ascii="仿宋" w:hAnsi="仿宋" w:eastAsia="仿宋"/>
          <w:color w:val="auto"/>
          <w:sz w:val="32"/>
          <w:szCs w:val="32"/>
        </w:rPr>
        <w:t>灌溉试验站项目于</w:t>
      </w:r>
      <w:r>
        <w:rPr>
          <w:rFonts w:ascii="仿宋" w:hAnsi="仿宋" w:eastAsia="仿宋"/>
          <w:color w:val="auto"/>
          <w:sz w:val="32"/>
          <w:szCs w:val="32"/>
        </w:rPr>
        <w:t>2月21日复工复产</w:t>
      </w:r>
      <w:r>
        <w:rPr>
          <w:rFonts w:hint="eastAsia" w:ascii="仿宋" w:hAnsi="仿宋" w:eastAsia="仿宋"/>
          <w:color w:val="auto"/>
          <w:sz w:val="32"/>
          <w:szCs w:val="32"/>
        </w:rPr>
        <w:t>，预计到年底，可</w:t>
      </w:r>
      <w:r>
        <w:rPr>
          <w:rFonts w:ascii="仿宋" w:hAnsi="仿宋" w:eastAsia="仿宋"/>
          <w:color w:val="auto"/>
          <w:sz w:val="32"/>
          <w:szCs w:val="32"/>
        </w:rPr>
        <w:t>完成总工程量的90%，管理区主体施工完成，正在进行装饰装修施工，试验区土建部分基本完工，设备安装正在进行</w:t>
      </w:r>
      <w:r>
        <w:rPr>
          <w:rFonts w:hint="eastAsia" w:ascii="仿宋" w:hAnsi="仿宋" w:eastAsia="仿宋"/>
          <w:color w:val="auto"/>
          <w:sz w:val="32"/>
          <w:szCs w:val="32"/>
        </w:rPr>
        <w:t>，</w:t>
      </w:r>
      <w:r>
        <w:rPr>
          <w:rFonts w:ascii="仿宋" w:hAnsi="仿宋" w:eastAsia="仿宋"/>
          <w:color w:val="auto"/>
          <w:sz w:val="32"/>
          <w:szCs w:val="32"/>
        </w:rPr>
        <w:t>计划年底完工。</w:t>
      </w:r>
      <w:r>
        <w:rPr>
          <w:rFonts w:hint="eastAsia" w:ascii="仿宋" w:hAnsi="仿宋" w:eastAsia="仿宋"/>
          <w:color w:val="auto"/>
          <w:sz w:val="32"/>
          <w:szCs w:val="32"/>
        </w:rPr>
        <w:t>抓牢工程维修养护，2</w:t>
      </w:r>
      <w:r>
        <w:rPr>
          <w:rFonts w:ascii="仿宋" w:hAnsi="仿宋" w:eastAsia="仿宋"/>
          <w:color w:val="auto"/>
          <w:sz w:val="32"/>
          <w:szCs w:val="32"/>
        </w:rPr>
        <w:t>020</w:t>
      </w:r>
      <w:r>
        <w:rPr>
          <w:rFonts w:hint="eastAsia" w:ascii="仿宋" w:hAnsi="仿宋" w:eastAsia="仿宋"/>
          <w:color w:val="auto"/>
          <w:sz w:val="32"/>
          <w:szCs w:val="32"/>
        </w:rPr>
        <w:t>年人民渠二处全面完成</w:t>
      </w:r>
      <w:r>
        <w:rPr>
          <w:rFonts w:ascii="仿宋" w:hAnsi="仿宋" w:eastAsia="仿宋"/>
          <w:color w:val="auto"/>
          <w:sz w:val="32"/>
          <w:szCs w:val="32"/>
        </w:rPr>
        <w:t>2018年</w:t>
      </w:r>
      <w:r>
        <w:rPr>
          <w:rFonts w:hint="eastAsia" w:ascii="仿宋" w:hAnsi="仿宋" w:eastAsia="仿宋"/>
          <w:color w:val="auto"/>
          <w:sz w:val="32"/>
          <w:szCs w:val="32"/>
        </w:rPr>
        <w:t>“7</w:t>
      </w:r>
      <w:r>
        <w:rPr>
          <w:rFonts w:ascii="仿宋" w:hAnsi="仿宋" w:eastAsia="仿宋"/>
          <w:color w:val="auto"/>
          <w:sz w:val="32"/>
          <w:szCs w:val="32"/>
        </w:rPr>
        <w:t>.11</w:t>
      </w:r>
      <w:r>
        <w:rPr>
          <w:rFonts w:hint="eastAsia" w:ascii="仿宋" w:hAnsi="仿宋" w:eastAsia="仿宋"/>
          <w:color w:val="auto"/>
          <w:sz w:val="32"/>
          <w:szCs w:val="32"/>
        </w:rPr>
        <w:t>”</w:t>
      </w:r>
      <w:r>
        <w:rPr>
          <w:rFonts w:ascii="仿宋" w:hAnsi="仿宋" w:eastAsia="仿宋"/>
          <w:color w:val="auto"/>
          <w:sz w:val="32"/>
          <w:szCs w:val="32"/>
        </w:rPr>
        <w:t>暴雨洪灾灾后重建项目</w:t>
      </w:r>
      <w:r>
        <w:rPr>
          <w:rFonts w:hint="eastAsia" w:ascii="仿宋" w:hAnsi="仿宋" w:eastAsia="仿宋"/>
          <w:color w:val="auto"/>
          <w:sz w:val="32"/>
          <w:szCs w:val="32"/>
        </w:rPr>
        <w:t>和2</w:t>
      </w:r>
      <w:r>
        <w:rPr>
          <w:rFonts w:ascii="仿宋" w:hAnsi="仿宋" w:eastAsia="仿宋"/>
          <w:color w:val="auto"/>
          <w:sz w:val="32"/>
          <w:szCs w:val="32"/>
        </w:rPr>
        <w:t>020</w:t>
      </w:r>
      <w:r>
        <w:rPr>
          <w:rFonts w:hint="eastAsia" w:ascii="仿宋" w:hAnsi="仿宋" w:eastAsia="仿宋"/>
          <w:color w:val="auto"/>
          <w:sz w:val="32"/>
          <w:szCs w:val="32"/>
        </w:rPr>
        <w:t>年“</w:t>
      </w:r>
      <w:r>
        <w:rPr>
          <w:rFonts w:ascii="仿宋" w:hAnsi="仿宋" w:eastAsia="仿宋"/>
          <w:color w:val="auto"/>
          <w:sz w:val="32"/>
          <w:szCs w:val="32"/>
        </w:rPr>
        <w:t>8.11”暴雨洪灾抢险救灾任务；完成人民渠二处2020年维修养护项目、2020年冬修工程</w:t>
      </w:r>
      <w:r>
        <w:rPr>
          <w:rFonts w:hint="eastAsia" w:ascii="仿宋" w:hAnsi="仿宋" w:eastAsia="仿宋"/>
          <w:color w:val="auto"/>
          <w:sz w:val="32"/>
          <w:szCs w:val="32"/>
        </w:rPr>
        <w:t>，工程运行情况良好</w:t>
      </w:r>
      <w:r>
        <w:rPr>
          <w:rFonts w:ascii="仿宋" w:hAnsi="仿宋" w:eastAsia="仿宋"/>
          <w:color w:val="auto"/>
          <w:sz w:val="32"/>
          <w:szCs w:val="32"/>
        </w:rPr>
        <w:t>。</w:t>
      </w:r>
    </w:p>
    <w:p>
      <w:pPr>
        <w:ind w:firstLine="643" w:firstLineChars="200"/>
        <w:rPr>
          <w:rFonts w:ascii="仿宋" w:hAnsi="仿宋" w:eastAsia="仿宋"/>
          <w:color w:val="auto"/>
          <w:sz w:val="32"/>
          <w:szCs w:val="32"/>
        </w:rPr>
      </w:pPr>
      <w:r>
        <w:rPr>
          <w:rFonts w:hint="eastAsia" w:ascii="仿宋" w:hAnsi="仿宋" w:eastAsia="仿宋"/>
          <w:b/>
          <w:color w:val="auto"/>
          <w:sz w:val="32"/>
          <w:szCs w:val="32"/>
        </w:rPr>
        <w:t>科技驱动，科技信息化建设力度持续加强。</w:t>
      </w:r>
      <w:r>
        <w:rPr>
          <w:rFonts w:ascii="仿宋" w:hAnsi="仿宋" w:eastAsia="仿宋"/>
          <w:color w:val="auto"/>
          <w:sz w:val="32"/>
          <w:szCs w:val="32"/>
        </w:rPr>
        <w:t>2020年，人民渠二处水利科技推广工作取得明显成效，列出水利科技专项经费，组织基层单位自主研发实施了5个科技创新项目，全部试点成功，效果良好，</w:t>
      </w:r>
      <w:r>
        <w:rPr>
          <w:rFonts w:hint="eastAsia" w:ascii="仿宋" w:hAnsi="仿宋" w:eastAsia="仿宋"/>
          <w:color w:val="auto"/>
          <w:sz w:val="32"/>
          <w:szCs w:val="32"/>
        </w:rPr>
        <w:t>项目</w:t>
      </w:r>
      <w:r>
        <w:rPr>
          <w:rFonts w:ascii="仿宋" w:hAnsi="仿宋" w:eastAsia="仿宋"/>
          <w:color w:val="auto"/>
          <w:sz w:val="32"/>
          <w:szCs w:val="32"/>
        </w:rPr>
        <w:t>主要涉及水情实时数据远程监测系统、闸门自动调节系统、太阳能启闭闸门远程控制系统，放水洞栏污导流栅装置、闸门远程锁定装置。目前在渠道重要枢纽、险工险段、水文断面安装布置远程监控系统和水情监测等信息化设备已累计达300多处，重点完善视频监控点59处，建立起系统的、覆盖面广的远程监控平台，实现了手机、电脑端对重要工程点的实时监控。同时，人民渠二处重视科技人员的引进和培</w:t>
      </w:r>
      <w:r>
        <w:rPr>
          <w:rFonts w:hint="eastAsia" w:ascii="仿宋" w:hAnsi="仿宋" w:eastAsia="仿宋"/>
          <w:color w:val="auto"/>
          <w:sz w:val="32"/>
          <w:szCs w:val="32"/>
        </w:rPr>
        <w:t>养，针对科技信息设备的维修养护举办专题培训班，编制发放设备维养手册。</w:t>
      </w:r>
    </w:p>
    <w:p>
      <w:pPr>
        <w:ind w:firstLine="643" w:firstLineChars="200"/>
        <w:rPr>
          <w:rFonts w:ascii="仿宋" w:hAnsi="仿宋" w:eastAsia="仿宋"/>
          <w:color w:val="auto"/>
          <w:sz w:val="32"/>
          <w:szCs w:val="32"/>
        </w:rPr>
      </w:pPr>
      <w:r>
        <w:rPr>
          <w:rFonts w:hint="eastAsia" w:ascii="仿宋" w:hAnsi="仿宋" w:eastAsia="仿宋"/>
          <w:b/>
          <w:color w:val="auto"/>
          <w:sz w:val="32"/>
          <w:szCs w:val="32"/>
        </w:rPr>
        <w:t>着力规范，积极探索水利工程维修养护标准化工作。</w:t>
      </w:r>
      <w:r>
        <w:rPr>
          <w:rFonts w:hint="eastAsia" w:ascii="仿宋" w:hAnsi="仿宋" w:eastAsia="仿宋"/>
          <w:color w:val="auto"/>
          <w:sz w:val="32"/>
          <w:szCs w:val="32"/>
        </w:rPr>
        <w:t>2020年，按水利厅工作安排，人民渠二处第一时间成立编制机构，集中力量开展《四川省水利工程维修养护定额标准（灌区工程）》编制工作，通过对水利部、浙江省以及安徽省已完成的水利工程维修养护定额标准进行深度剖析研究、对省内灌区管理的实地情况收集、对省外先进灌区的学习调研等方式，已形成方案大纲。目前，该工作已经进入攻坚阶段，攻坚小组正</w:t>
      </w:r>
      <w:r>
        <w:rPr>
          <w:rFonts w:hint="eastAsia" w:ascii="仿宋" w:hAnsi="仿宋" w:eastAsia="仿宋" w:cs="Times New Roman"/>
          <w:color w:val="auto"/>
          <w:sz w:val="32"/>
          <w:szCs w:val="32"/>
        </w:rPr>
        <w:t>进一步明确运维服务对象分类及服务内容建立分类核准</w:t>
      </w:r>
      <w:r>
        <w:rPr>
          <w:rFonts w:hint="eastAsia" w:ascii="仿宋" w:hAnsi="仿宋" w:eastAsia="仿宋"/>
          <w:color w:val="auto"/>
          <w:sz w:val="32"/>
          <w:szCs w:val="32"/>
        </w:rPr>
        <w:t>，力争在年底出台初步成果。</w:t>
      </w:r>
    </w:p>
    <w:p>
      <w:pPr>
        <w:ind w:firstLine="643" w:firstLineChars="200"/>
        <w:rPr>
          <w:rFonts w:ascii="仿宋" w:hAnsi="仿宋" w:eastAsia="仿宋"/>
          <w:b/>
          <w:color w:val="auto"/>
          <w:sz w:val="32"/>
          <w:szCs w:val="32"/>
        </w:rPr>
      </w:pPr>
      <w:r>
        <w:rPr>
          <w:rFonts w:hint="eastAsia" w:ascii="仿宋" w:hAnsi="仿宋" w:eastAsia="仿宋"/>
          <w:b/>
          <w:color w:val="auto"/>
          <w:sz w:val="32"/>
          <w:szCs w:val="32"/>
          <w:lang w:val="en-US" w:eastAsia="zh-CN"/>
        </w:rPr>
        <w:t>3</w:t>
      </w:r>
      <w:r>
        <w:rPr>
          <w:rFonts w:hint="eastAsia" w:ascii="仿宋" w:hAnsi="仿宋" w:eastAsia="仿宋"/>
          <w:b/>
          <w:color w:val="auto"/>
          <w:sz w:val="32"/>
          <w:szCs w:val="32"/>
        </w:rPr>
        <w:t>.树牢安全意识，工程安全管理水平不断提升</w:t>
      </w:r>
    </w:p>
    <w:p>
      <w:pPr>
        <w:ind w:firstLine="643" w:firstLineChars="200"/>
        <w:rPr>
          <w:rFonts w:ascii="仿宋" w:hAnsi="仿宋" w:eastAsia="仿宋"/>
          <w:color w:val="auto"/>
          <w:sz w:val="32"/>
          <w:szCs w:val="32"/>
        </w:rPr>
      </w:pPr>
      <w:r>
        <w:rPr>
          <w:rFonts w:hint="eastAsia" w:ascii="仿宋" w:hAnsi="仿宋" w:eastAsia="仿宋"/>
          <w:b/>
          <w:color w:val="auto"/>
          <w:sz w:val="32"/>
          <w:szCs w:val="32"/>
        </w:rPr>
        <w:t>扎实做好防汛减灾工作。</w:t>
      </w:r>
      <w:r>
        <w:rPr>
          <w:rFonts w:ascii="仿宋" w:hAnsi="仿宋" w:eastAsia="仿宋"/>
          <w:color w:val="auto"/>
          <w:sz w:val="32"/>
          <w:szCs w:val="32"/>
        </w:rPr>
        <w:t>2020年灌区气象较异常，人民渠二处将时刻绷紧安全度汛这根弦，</w:t>
      </w:r>
      <w:r>
        <w:rPr>
          <w:rFonts w:hint="eastAsia" w:ascii="仿宋" w:hAnsi="仿宋" w:eastAsia="仿宋"/>
          <w:color w:val="auto"/>
          <w:sz w:val="32"/>
          <w:szCs w:val="32"/>
        </w:rPr>
        <w:t>加强防汛预案的学习和演练，细化日常防汛的各项措施，严格防汛值班纪律，</w:t>
      </w:r>
      <w:r>
        <w:rPr>
          <w:rFonts w:ascii="仿宋" w:hAnsi="仿宋" w:eastAsia="仿宋"/>
          <w:color w:val="auto"/>
          <w:sz w:val="32"/>
          <w:szCs w:val="32"/>
        </w:rPr>
        <w:t>扎实做好防汛各项基础工作</w:t>
      </w:r>
      <w:r>
        <w:rPr>
          <w:rFonts w:hint="eastAsia" w:ascii="仿宋" w:hAnsi="仿宋" w:eastAsia="仿宋"/>
          <w:color w:val="auto"/>
          <w:sz w:val="32"/>
          <w:szCs w:val="32"/>
        </w:rPr>
        <w:t>；同时，就灌区的天气情况加强与气象部门的信息互通，提前做好防灾减灾准备</w:t>
      </w:r>
      <w:r>
        <w:rPr>
          <w:rFonts w:ascii="仿宋" w:hAnsi="仿宋" w:eastAsia="仿宋"/>
          <w:color w:val="auto"/>
          <w:sz w:val="32"/>
          <w:szCs w:val="32"/>
        </w:rPr>
        <w:t>，坚定地把安全放在首位。</w:t>
      </w:r>
      <w:r>
        <w:rPr>
          <w:rFonts w:hint="eastAsia" w:ascii="仿宋" w:hAnsi="仿宋" w:eastAsia="仿宋"/>
          <w:color w:val="auto"/>
          <w:sz w:val="32"/>
          <w:szCs w:val="32"/>
        </w:rPr>
        <w:t>由于科学预判，措施有力，成功应对“</w:t>
      </w:r>
      <w:r>
        <w:rPr>
          <w:rFonts w:ascii="仿宋" w:hAnsi="仿宋" w:eastAsia="仿宋"/>
          <w:color w:val="auto"/>
          <w:sz w:val="32"/>
          <w:szCs w:val="32"/>
        </w:rPr>
        <w:t>8.11”“8.16”特大暴雨洪水，尽管出现70余处水毁工程，但未出现渠道翻水等责任事故，确保了沿渠群众生命财产安全。</w:t>
      </w:r>
    </w:p>
    <w:p>
      <w:pPr>
        <w:ind w:firstLine="645"/>
        <w:rPr>
          <w:rFonts w:ascii="仿宋" w:hAnsi="仿宋" w:eastAsia="仿宋"/>
          <w:color w:val="auto"/>
          <w:sz w:val="32"/>
          <w:szCs w:val="32"/>
        </w:rPr>
      </w:pPr>
      <w:r>
        <w:rPr>
          <w:rFonts w:hint="eastAsia" w:ascii="仿宋" w:hAnsi="仿宋" w:eastAsia="仿宋"/>
          <w:b/>
          <w:color w:val="auto"/>
          <w:sz w:val="32"/>
          <w:szCs w:val="32"/>
        </w:rPr>
        <w:t>深化水利安全生产标准化建设成效。</w:t>
      </w:r>
      <w:r>
        <w:rPr>
          <w:rFonts w:hint="eastAsia" w:ascii="仿宋" w:hAnsi="仿宋" w:eastAsia="仿宋"/>
          <w:color w:val="auto"/>
          <w:sz w:val="32"/>
          <w:szCs w:val="32"/>
        </w:rPr>
        <w:t>2020年，人民渠二处以安全生产月、专项整治三年行动、危险源辨识与风险评价、安全宣传“五进”等文件要求为抓手，认真开展安全生产检查，定期与不定期相结合，重整改、重监管，闭环管理力度不断增强；积极组织各种规模、各类主题的应急演练，应急管理工作不断上台阶；查漏补缺</w:t>
      </w:r>
      <w:r>
        <w:rPr>
          <w:rFonts w:ascii="仿宋" w:hAnsi="仿宋" w:eastAsia="仿宋"/>
          <w:color w:val="auto"/>
          <w:sz w:val="32"/>
          <w:szCs w:val="32"/>
        </w:rPr>
        <w:t>，聘请第三方安全咨询公司对全处安全生产标准化进行年度绩效评定，经</w:t>
      </w:r>
      <w:r>
        <w:rPr>
          <w:rFonts w:hint="eastAsia" w:ascii="仿宋" w:hAnsi="仿宋" w:eastAsia="仿宋"/>
          <w:color w:val="auto"/>
          <w:sz w:val="32"/>
          <w:szCs w:val="32"/>
        </w:rPr>
        <w:t>评定</w:t>
      </w:r>
      <w:r>
        <w:rPr>
          <w:rFonts w:ascii="仿宋" w:hAnsi="仿宋" w:eastAsia="仿宋"/>
          <w:color w:val="auto"/>
          <w:sz w:val="32"/>
          <w:szCs w:val="32"/>
        </w:rPr>
        <w:t>认为</w:t>
      </w:r>
      <w:r>
        <w:rPr>
          <w:rFonts w:hint="eastAsia" w:ascii="仿宋" w:hAnsi="仿宋" w:eastAsia="仿宋"/>
          <w:color w:val="auto"/>
          <w:sz w:val="32"/>
          <w:szCs w:val="32"/>
        </w:rPr>
        <w:t>人民渠二处</w:t>
      </w:r>
      <w:r>
        <w:rPr>
          <w:rFonts w:ascii="仿宋" w:hAnsi="仿宋" w:eastAsia="仿宋"/>
          <w:color w:val="auto"/>
          <w:sz w:val="32"/>
          <w:szCs w:val="32"/>
        </w:rPr>
        <w:t>生产标准化工作运行良好，满足安全生产标准化二级单位评审条件。</w:t>
      </w:r>
      <w:r>
        <w:rPr>
          <w:rFonts w:hint="eastAsia" w:ascii="仿宋" w:hAnsi="仿宋" w:eastAsia="仿宋"/>
          <w:color w:val="auto"/>
          <w:sz w:val="32"/>
          <w:szCs w:val="32"/>
        </w:rPr>
        <w:t>全年保持了稳定良好的安全生产形势。</w:t>
      </w:r>
    </w:p>
    <w:p>
      <w:pPr>
        <w:numPr>
          <w:ilvl w:val="0"/>
          <w:numId w:val="1"/>
        </w:numPr>
        <w:ind w:firstLine="643" w:firstLineChars="200"/>
        <w:rPr>
          <w:rFonts w:hint="eastAsia" w:ascii="仿宋" w:hAnsi="仿宋" w:eastAsia="仿宋"/>
          <w:b/>
          <w:color w:val="auto"/>
          <w:sz w:val="32"/>
          <w:szCs w:val="32"/>
        </w:rPr>
      </w:pPr>
      <w:r>
        <w:rPr>
          <w:rFonts w:hint="eastAsia" w:ascii="仿宋" w:hAnsi="仿宋" w:eastAsia="仿宋"/>
          <w:b/>
          <w:color w:val="auto"/>
          <w:sz w:val="32"/>
          <w:szCs w:val="32"/>
        </w:rPr>
        <w:t>强化各方联动，依法治水、科学管水成效不断彰显水行政监察工作力度不断加强</w:t>
      </w:r>
    </w:p>
    <w:p>
      <w:pPr>
        <w:numPr>
          <w:ilvl w:val="0"/>
          <w:numId w:val="0"/>
        </w:numPr>
        <w:ind w:firstLine="640" w:firstLineChars="200"/>
        <w:rPr>
          <w:rFonts w:ascii="仿宋" w:hAnsi="仿宋" w:eastAsia="仿宋"/>
          <w:color w:val="auto"/>
          <w:sz w:val="32"/>
          <w:szCs w:val="32"/>
        </w:rPr>
      </w:pPr>
      <w:r>
        <w:rPr>
          <w:rFonts w:hint="eastAsia" w:ascii="仿宋" w:hAnsi="仿宋" w:eastAsia="仿宋"/>
          <w:color w:val="auto"/>
          <w:sz w:val="32"/>
          <w:szCs w:val="32"/>
        </w:rPr>
        <w:t>2020年，人民渠二处不断</w:t>
      </w:r>
      <w:r>
        <w:rPr>
          <w:rFonts w:ascii="仿宋" w:hAnsi="仿宋" w:eastAsia="仿宋"/>
          <w:color w:val="auto"/>
          <w:sz w:val="32"/>
          <w:szCs w:val="32"/>
        </w:rPr>
        <w:t>健全三级联动执法巡查机制，</w:t>
      </w:r>
      <w:r>
        <w:rPr>
          <w:rFonts w:hint="eastAsia" w:ascii="仿宋" w:hAnsi="仿宋" w:eastAsia="仿宋"/>
          <w:color w:val="auto"/>
          <w:sz w:val="32"/>
          <w:szCs w:val="32"/>
        </w:rPr>
        <w:t>处站段对干渠（水库）共巡查约</w:t>
      </w:r>
      <w:r>
        <w:rPr>
          <w:rFonts w:ascii="仿宋" w:hAnsi="仿宋" w:eastAsia="仿宋" w:cs="仿宋"/>
          <w:color w:val="auto"/>
          <w:sz w:val="32"/>
          <w:szCs w:val="32"/>
        </w:rPr>
        <w:t>2000</w:t>
      </w:r>
      <w:r>
        <w:rPr>
          <w:rFonts w:hint="eastAsia" w:ascii="仿宋" w:hAnsi="仿宋" w:eastAsia="仿宋" w:cs="仿宋"/>
          <w:color w:val="auto"/>
          <w:sz w:val="32"/>
          <w:szCs w:val="32"/>
        </w:rPr>
        <w:t>次，现场制止水事违法行为2</w:t>
      </w:r>
      <w:r>
        <w:rPr>
          <w:rFonts w:ascii="仿宋" w:hAnsi="仿宋" w:eastAsia="仿宋" w:cs="仿宋"/>
          <w:color w:val="auto"/>
          <w:sz w:val="32"/>
          <w:szCs w:val="32"/>
        </w:rPr>
        <w:t>7起</w:t>
      </w:r>
      <w:r>
        <w:rPr>
          <w:rFonts w:hint="eastAsia" w:ascii="仿宋" w:hAnsi="仿宋" w:eastAsia="仿宋" w:cs="仿宋"/>
          <w:color w:val="auto"/>
          <w:sz w:val="32"/>
          <w:szCs w:val="32"/>
        </w:rPr>
        <w:t>；同时，加强与都管局的纵向、与灌区的横向联合巡查，实地查看涉水在建工程项目、入渠排污口等乱点乱象，解决管理过程中的突出问题。</w:t>
      </w:r>
      <w:r>
        <w:rPr>
          <w:rFonts w:hint="eastAsia" w:ascii="仿宋" w:hAnsi="仿宋" w:eastAsia="仿宋"/>
          <w:color w:val="auto"/>
          <w:sz w:val="32"/>
          <w:szCs w:val="32"/>
        </w:rPr>
        <w:t>水域岸线管理保护和规划利用工作协调到位，鲁班水库划界技术成果已移交三台县人民政府相关部门，公示工作正稳步推进。</w:t>
      </w:r>
    </w:p>
    <w:p>
      <w:pPr>
        <w:ind w:firstLine="643" w:firstLineChars="200"/>
        <w:rPr>
          <w:rFonts w:ascii="仿宋" w:hAnsi="仿宋" w:eastAsia="仿宋"/>
          <w:color w:val="auto"/>
          <w:sz w:val="32"/>
          <w:szCs w:val="32"/>
        </w:rPr>
      </w:pPr>
      <w:r>
        <w:rPr>
          <w:rFonts w:hint="eastAsia" w:ascii="仿宋" w:hAnsi="仿宋" w:eastAsia="仿宋"/>
          <w:b/>
          <w:color w:val="auto"/>
          <w:sz w:val="32"/>
          <w:szCs w:val="32"/>
        </w:rPr>
        <w:t>全面深化河（湖）长制建设成效。</w:t>
      </w:r>
      <w:r>
        <w:rPr>
          <w:rFonts w:hint="eastAsia" w:ascii="仿宋" w:hAnsi="仿宋" w:eastAsia="仿宋"/>
          <w:color w:val="auto"/>
          <w:sz w:val="32"/>
          <w:szCs w:val="32"/>
        </w:rPr>
        <w:t>制定河长制湖长制工作推进方案，建立长效工作机制，与灌区河长签订河长制工作联防联控协议，完成河长制湖长制工作流程图；同时，做好灌区河长制宣传工作，制作拍摄河长制宣传片《河湖儿女》在全国大赛中获得优秀奖。充分发挥处河长制湖长制推进办公室作用，有力推动灌区渠库河长湖长互访和联合巡查，圆满完成长江（金沙江）河长制湖长制调研、暗访、督导工作。</w:t>
      </w:r>
    </w:p>
    <w:p>
      <w:pPr>
        <w:ind w:firstLine="643" w:firstLineChars="200"/>
        <w:rPr>
          <w:rFonts w:ascii="仿宋" w:hAnsi="仿宋" w:eastAsia="仿宋"/>
          <w:b/>
          <w:color w:val="auto"/>
          <w:sz w:val="32"/>
          <w:szCs w:val="32"/>
        </w:rPr>
      </w:pPr>
      <w:r>
        <w:rPr>
          <w:rFonts w:hint="eastAsia" w:ascii="仿宋" w:hAnsi="仿宋" w:eastAsia="仿宋"/>
          <w:b/>
          <w:color w:val="auto"/>
          <w:sz w:val="32"/>
          <w:szCs w:val="32"/>
        </w:rPr>
        <w:t>5.细化工作措施，改革工作力度不断加大</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今年，人民渠二处调整综经系统管理模式，扎实推动处属电站改革，下属三个</w:t>
      </w:r>
      <w:r>
        <w:rPr>
          <w:rFonts w:ascii="仿宋" w:hAnsi="仿宋" w:eastAsia="仿宋"/>
          <w:color w:val="auto"/>
          <w:sz w:val="32"/>
          <w:szCs w:val="32"/>
        </w:rPr>
        <w:t>电站采用“互联网+”技术进行“远程监控、无人值班、少人值守”模式改造，电站专业化运维管理水平</w:t>
      </w:r>
      <w:r>
        <w:rPr>
          <w:rFonts w:hint="eastAsia" w:ascii="仿宋" w:hAnsi="仿宋" w:eastAsia="仿宋"/>
          <w:color w:val="auto"/>
          <w:sz w:val="32"/>
          <w:szCs w:val="32"/>
        </w:rPr>
        <w:t>大大提升</w:t>
      </w:r>
      <w:r>
        <w:rPr>
          <w:rFonts w:ascii="仿宋" w:hAnsi="仿宋" w:eastAsia="仿宋"/>
          <w:color w:val="auto"/>
          <w:sz w:val="32"/>
          <w:szCs w:val="32"/>
        </w:rPr>
        <w:t>，</w:t>
      </w:r>
      <w:r>
        <w:rPr>
          <w:rFonts w:hint="eastAsia" w:ascii="仿宋" w:hAnsi="仿宋" w:eastAsia="仿宋"/>
          <w:color w:val="auto"/>
          <w:sz w:val="32"/>
          <w:szCs w:val="32"/>
        </w:rPr>
        <w:t>推动单位综合经营实体的管理体制逐渐理顺。</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探索基层管理改革。人民渠二处管理渠道近3</w:t>
      </w:r>
      <w:r>
        <w:rPr>
          <w:rFonts w:ascii="仿宋" w:hAnsi="仿宋" w:eastAsia="仿宋"/>
          <w:color w:val="auto"/>
          <w:sz w:val="32"/>
          <w:szCs w:val="32"/>
        </w:rPr>
        <w:t>00</w:t>
      </w:r>
      <w:r>
        <w:rPr>
          <w:rFonts w:hint="eastAsia" w:ascii="仿宋" w:hAnsi="仿宋" w:eastAsia="仿宋"/>
          <w:color w:val="auto"/>
          <w:sz w:val="32"/>
          <w:szCs w:val="32"/>
        </w:rPr>
        <w:t>公里，工程战线长，导致上下游之间偶尔出现供水协调不畅的情况，也因为一线管理站点所处位置偏远，招进来的人员留不住，致使基层管理工作开展困难。2</w:t>
      </w:r>
      <w:r>
        <w:rPr>
          <w:rFonts w:ascii="仿宋" w:hAnsi="仿宋" w:eastAsia="仿宋"/>
          <w:color w:val="auto"/>
          <w:sz w:val="32"/>
          <w:szCs w:val="32"/>
        </w:rPr>
        <w:t>020</w:t>
      </w:r>
      <w:r>
        <w:rPr>
          <w:rFonts w:hint="eastAsia" w:ascii="仿宋" w:hAnsi="仿宋" w:eastAsia="仿宋"/>
          <w:color w:val="auto"/>
          <w:sz w:val="32"/>
          <w:szCs w:val="32"/>
        </w:rPr>
        <w:t>年，为切实落实灌区“十项要求”，人民渠二处推动基层的站、工段一线的点合署办公，依托闸门自动控制系统、视频监测系统、无人机巡渠等先进技术手段，建设大工段、大管理站，人员队伍优化、管理成本减低，服务灌区工作水平提升显著。</w:t>
      </w:r>
    </w:p>
    <w:p>
      <w:pPr>
        <w:ind w:firstLine="643" w:firstLineChars="200"/>
        <w:rPr>
          <w:rFonts w:ascii="仿宋" w:hAnsi="仿宋" w:eastAsia="仿宋"/>
          <w:b/>
          <w:color w:val="auto"/>
          <w:sz w:val="32"/>
          <w:szCs w:val="32"/>
        </w:rPr>
      </w:pPr>
      <w:r>
        <w:rPr>
          <w:rFonts w:hint="eastAsia" w:ascii="仿宋" w:hAnsi="仿宋" w:eastAsia="仿宋"/>
          <w:b/>
          <w:color w:val="auto"/>
          <w:sz w:val="32"/>
          <w:szCs w:val="32"/>
        </w:rPr>
        <w:t>6.落实生态节水建设，办公环境不断优化</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我处机关大院于</w:t>
      </w:r>
      <w:r>
        <w:rPr>
          <w:rFonts w:ascii="仿宋" w:hAnsi="仿宋" w:eastAsia="仿宋"/>
          <w:color w:val="auto"/>
          <w:sz w:val="32"/>
          <w:szCs w:val="32"/>
        </w:rPr>
        <w:t>90年代投入使用，地面坑洼且节水效果差。</w:t>
      </w:r>
      <w:r>
        <w:rPr>
          <w:rFonts w:hint="eastAsia" w:ascii="仿宋" w:hAnsi="仿宋" w:eastAsia="仿宋"/>
          <w:color w:val="auto"/>
          <w:sz w:val="32"/>
          <w:szCs w:val="32"/>
        </w:rPr>
        <w:t>2</w:t>
      </w:r>
      <w:r>
        <w:rPr>
          <w:rFonts w:ascii="仿宋" w:hAnsi="仿宋" w:eastAsia="仿宋"/>
          <w:color w:val="auto"/>
          <w:sz w:val="32"/>
          <w:szCs w:val="32"/>
        </w:rPr>
        <w:t>020</w:t>
      </w:r>
      <w:r>
        <w:rPr>
          <w:rFonts w:hint="eastAsia" w:ascii="仿宋" w:hAnsi="仿宋" w:eastAsia="仿宋"/>
          <w:color w:val="auto"/>
          <w:sz w:val="32"/>
          <w:szCs w:val="32"/>
        </w:rPr>
        <w:t>年人民渠二处以开展节水型机关建设为抓手，落实</w:t>
      </w:r>
      <w:r>
        <w:rPr>
          <w:rFonts w:ascii="仿宋" w:hAnsi="仿宋" w:eastAsia="仿宋"/>
          <w:color w:val="auto"/>
          <w:sz w:val="32"/>
          <w:szCs w:val="32"/>
        </w:rPr>
        <w:t>机关路面透水沥青路面改造、雨水循环利用系统改造等节水</w:t>
      </w:r>
      <w:r>
        <w:rPr>
          <w:rFonts w:hint="eastAsia" w:ascii="仿宋" w:hAnsi="仿宋" w:eastAsia="仿宋"/>
          <w:color w:val="auto"/>
          <w:sz w:val="32"/>
          <w:szCs w:val="32"/>
        </w:rPr>
        <w:t>工程</w:t>
      </w:r>
      <w:r>
        <w:rPr>
          <w:rFonts w:ascii="仿宋" w:hAnsi="仿宋" w:eastAsia="仿宋"/>
          <w:color w:val="auto"/>
          <w:sz w:val="32"/>
          <w:szCs w:val="32"/>
        </w:rPr>
        <w:t>，增加节水技术的应用范围，优化院内绿化规划，全力建设美化、绿化、节能等机关，</w:t>
      </w:r>
      <w:r>
        <w:rPr>
          <w:rFonts w:hint="eastAsia" w:ascii="仿宋" w:hAnsi="仿宋" w:eastAsia="仿宋"/>
          <w:color w:val="auto"/>
          <w:sz w:val="32"/>
          <w:szCs w:val="32"/>
        </w:rPr>
        <w:t>1</w:t>
      </w:r>
      <w:r>
        <w:rPr>
          <w:rFonts w:ascii="仿宋" w:hAnsi="仿宋" w:eastAsia="仿宋"/>
          <w:color w:val="auto"/>
          <w:sz w:val="32"/>
          <w:szCs w:val="32"/>
        </w:rPr>
        <w:t>2</w:t>
      </w:r>
      <w:r>
        <w:rPr>
          <w:rFonts w:hint="eastAsia" w:ascii="仿宋" w:hAnsi="仿宋" w:eastAsia="仿宋"/>
          <w:color w:val="auto"/>
          <w:sz w:val="32"/>
          <w:szCs w:val="32"/>
        </w:rPr>
        <w:t>月底通过</w:t>
      </w:r>
      <w:r>
        <w:rPr>
          <w:rFonts w:ascii="仿宋" w:hAnsi="仿宋" w:eastAsia="仿宋"/>
          <w:color w:val="auto"/>
          <w:sz w:val="32"/>
          <w:szCs w:val="32"/>
        </w:rPr>
        <w:t>节水型机关</w:t>
      </w:r>
      <w:r>
        <w:rPr>
          <w:rFonts w:hint="eastAsia" w:ascii="仿宋" w:hAnsi="仿宋" w:eastAsia="仿宋"/>
          <w:color w:val="auto"/>
          <w:sz w:val="32"/>
          <w:szCs w:val="32"/>
        </w:rPr>
        <w:t>现场</w:t>
      </w:r>
      <w:r>
        <w:rPr>
          <w:rFonts w:ascii="仿宋" w:hAnsi="仿宋" w:eastAsia="仿宋"/>
          <w:color w:val="auto"/>
          <w:sz w:val="32"/>
          <w:szCs w:val="32"/>
        </w:rPr>
        <w:t>验收。</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以“最美工段”创建活动为切入点，加强基层办公环境建设。坚持生态理念，对一线的工段管理站点进行绿化改造，种植瓜果蔬菜、规划绿化通道等，将工段优美的环境与职工生活需求相结合，打造了以华强沟水库控制中心和4</w:t>
      </w:r>
      <w:r>
        <w:rPr>
          <w:rFonts w:ascii="仿宋" w:hAnsi="仿宋" w:eastAsia="仿宋"/>
          <w:color w:val="auto"/>
          <w:sz w:val="32"/>
          <w:szCs w:val="32"/>
        </w:rPr>
        <w:t>4</w:t>
      </w:r>
      <w:r>
        <w:rPr>
          <w:rFonts w:hint="eastAsia" w:ascii="仿宋" w:hAnsi="仿宋" w:eastAsia="仿宋"/>
          <w:color w:val="auto"/>
          <w:sz w:val="32"/>
          <w:szCs w:val="32"/>
        </w:rPr>
        <w:t>工段为代表信息化系统覆盖、工作环境优美的基层站点。</w:t>
      </w:r>
    </w:p>
    <w:p>
      <w:pPr>
        <w:ind w:firstLine="645"/>
        <w:rPr>
          <w:rFonts w:ascii="楷体" w:hAnsi="楷体" w:eastAsia="楷体"/>
          <w:b w:val="0"/>
          <w:bCs/>
          <w:color w:val="auto"/>
          <w:sz w:val="32"/>
          <w:szCs w:val="32"/>
        </w:rPr>
      </w:pPr>
      <w:r>
        <w:rPr>
          <w:rFonts w:hint="eastAsia" w:ascii="楷体" w:hAnsi="楷体" w:eastAsia="楷体"/>
          <w:b w:val="0"/>
          <w:bCs/>
          <w:color w:val="auto"/>
          <w:sz w:val="32"/>
          <w:szCs w:val="32"/>
        </w:rPr>
        <w:t>（二）筑牢党建基础</w:t>
      </w:r>
      <w:r>
        <w:rPr>
          <w:rFonts w:ascii="楷体" w:hAnsi="楷体" w:eastAsia="楷体"/>
          <w:b w:val="0"/>
          <w:bCs/>
          <w:color w:val="auto"/>
          <w:sz w:val="32"/>
          <w:szCs w:val="32"/>
        </w:rPr>
        <w:t>,狠抓队伍建设,激发党建活力</w:t>
      </w:r>
    </w:p>
    <w:p>
      <w:pPr>
        <w:ind w:firstLine="643" w:firstLineChars="200"/>
        <w:rPr>
          <w:rFonts w:ascii="仿宋" w:hAnsi="仿宋" w:eastAsia="仿宋"/>
          <w:color w:val="auto"/>
          <w:sz w:val="32"/>
          <w:szCs w:val="32"/>
        </w:rPr>
      </w:pPr>
      <w:r>
        <w:rPr>
          <w:rFonts w:hint="eastAsia" w:ascii="仿宋" w:hAnsi="仿宋" w:eastAsia="仿宋"/>
          <w:b/>
          <w:color w:val="auto"/>
          <w:sz w:val="32"/>
          <w:szCs w:val="32"/>
        </w:rPr>
        <w:t>1.</w:t>
      </w:r>
      <w:r>
        <w:rPr>
          <w:rFonts w:ascii="仿宋" w:hAnsi="仿宋" w:eastAsia="仿宋"/>
          <w:b/>
          <w:color w:val="auto"/>
          <w:sz w:val="32"/>
          <w:szCs w:val="32"/>
        </w:rPr>
        <w:t>抓好干部带队伍,</w:t>
      </w:r>
      <w:r>
        <w:rPr>
          <w:rFonts w:hint="eastAsia" w:ascii="仿宋" w:hAnsi="仿宋" w:eastAsia="仿宋"/>
          <w:b/>
          <w:color w:val="auto"/>
          <w:sz w:val="32"/>
          <w:szCs w:val="32"/>
        </w:rPr>
        <w:t>构建风清气正干部职工队伍</w:t>
      </w:r>
      <w:r>
        <w:rPr>
          <w:rFonts w:ascii="仿宋" w:hAnsi="仿宋" w:eastAsia="仿宋"/>
          <w:b/>
          <w:color w:val="auto"/>
          <w:sz w:val="32"/>
          <w:szCs w:val="32"/>
        </w:rPr>
        <w:t>。</w:t>
      </w:r>
      <w:r>
        <w:rPr>
          <w:rFonts w:hint="eastAsia" w:ascii="仿宋" w:hAnsi="仿宋" w:eastAsia="仿宋"/>
          <w:color w:val="auto"/>
          <w:sz w:val="32"/>
          <w:szCs w:val="32"/>
        </w:rPr>
        <w:t>今年对支部书记和支部委员进行专题业务培训</w:t>
      </w:r>
      <w:r>
        <w:rPr>
          <w:rFonts w:ascii="仿宋" w:hAnsi="仿宋" w:eastAsia="仿宋"/>
          <w:color w:val="auto"/>
          <w:sz w:val="32"/>
          <w:szCs w:val="32"/>
        </w:rPr>
        <w:t>5次</w:t>
      </w:r>
      <w:r>
        <w:rPr>
          <w:rFonts w:hint="eastAsia" w:ascii="仿宋" w:hAnsi="仿宋" w:eastAsia="仿宋"/>
          <w:color w:val="auto"/>
          <w:sz w:val="32"/>
          <w:szCs w:val="32"/>
        </w:rPr>
        <w:t>，</w:t>
      </w:r>
      <w:r>
        <w:rPr>
          <w:rFonts w:ascii="仿宋" w:hAnsi="仿宋" w:eastAsia="仿宋"/>
          <w:color w:val="auto"/>
          <w:sz w:val="32"/>
          <w:szCs w:val="32"/>
        </w:rPr>
        <w:t>组织党员干部参加中心组理论学习扩大会，起到思想碰撞、观念交流、业务研讨、工作协调作用</w:t>
      </w:r>
      <w:r>
        <w:rPr>
          <w:rFonts w:hint="eastAsia" w:ascii="仿宋" w:hAnsi="仿宋" w:eastAsia="仿宋"/>
          <w:color w:val="auto"/>
          <w:sz w:val="32"/>
          <w:szCs w:val="32"/>
        </w:rPr>
        <w:t>。将保密教育纳入中心组学习计划，认真开展保密宣传，不断提升党员干部保密意识和保密规范。</w:t>
      </w:r>
      <w:r>
        <w:rPr>
          <w:rFonts w:hint="eastAsia" w:ascii="仿宋" w:hAnsi="仿宋" w:eastAsia="仿宋" w:cs="仿宋"/>
          <w:color w:val="auto"/>
          <w:sz w:val="32"/>
          <w:szCs w:val="32"/>
        </w:rPr>
        <w:t>严格</w:t>
      </w:r>
      <w:r>
        <w:rPr>
          <w:rFonts w:ascii="仿宋" w:hAnsi="仿宋" w:eastAsia="仿宋" w:cs="仿宋"/>
          <w:color w:val="auto"/>
          <w:sz w:val="32"/>
          <w:szCs w:val="32"/>
        </w:rPr>
        <w:t>干部选拔</w:t>
      </w:r>
      <w:r>
        <w:rPr>
          <w:rFonts w:hint="eastAsia" w:ascii="仿宋" w:hAnsi="仿宋" w:eastAsia="仿宋" w:cs="仿宋"/>
          <w:color w:val="auto"/>
          <w:sz w:val="32"/>
          <w:szCs w:val="32"/>
        </w:rPr>
        <w:t>任用，</w:t>
      </w:r>
      <w:r>
        <w:rPr>
          <w:rFonts w:ascii="仿宋" w:hAnsi="仿宋" w:eastAsia="仿宋" w:cs="仿宋"/>
          <w:color w:val="auto"/>
          <w:sz w:val="32"/>
          <w:szCs w:val="32"/>
        </w:rPr>
        <w:t>轮岗交流</w:t>
      </w:r>
      <w:r>
        <w:rPr>
          <w:rFonts w:hint="eastAsia" w:ascii="仿宋" w:hAnsi="仿宋" w:eastAsia="仿宋" w:cs="仿宋"/>
          <w:color w:val="auto"/>
          <w:sz w:val="32"/>
          <w:szCs w:val="32"/>
        </w:rPr>
        <w:t>科级干部7名</w:t>
      </w:r>
      <w:r>
        <w:rPr>
          <w:rFonts w:ascii="仿宋" w:hAnsi="仿宋" w:eastAsia="仿宋" w:cs="仿宋"/>
          <w:color w:val="auto"/>
          <w:sz w:val="32"/>
          <w:szCs w:val="32"/>
        </w:rPr>
        <w:t>，选拔正科级干部</w:t>
      </w:r>
      <w:r>
        <w:rPr>
          <w:rFonts w:hint="eastAsia" w:ascii="仿宋" w:hAnsi="仿宋" w:eastAsia="仿宋" w:cs="仿宋"/>
          <w:color w:val="auto"/>
          <w:sz w:val="32"/>
          <w:szCs w:val="32"/>
        </w:rPr>
        <w:t>4名、</w:t>
      </w:r>
      <w:r>
        <w:rPr>
          <w:rFonts w:ascii="仿宋" w:hAnsi="仿宋" w:eastAsia="仿宋" w:cs="仿宋"/>
          <w:color w:val="auto"/>
          <w:sz w:val="32"/>
          <w:szCs w:val="32"/>
        </w:rPr>
        <w:t>副科级干部</w:t>
      </w:r>
      <w:r>
        <w:rPr>
          <w:rFonts w:hint="eastAsia" w:ascii="仿宋" w:hAnsi="仿宋" w:eastAsia="仿宋" w:cs="仿宋"/>
          <w:color w:val="auto"/>
          <w:sz w:val="32"/>
          <w:szCs w:val="32"/>
        </w:rPr>
        <w:t>1名、副主任工程师1名；共</w:t>
      </w:r>
      <w:r>
        <w:rPr>
          <w:rFonts w:ascii="仿宋" w:hAnsi="仿宋" w:eastAsia="仿宋"/>
          <w:color w:val="auto"/>
          <w:sz w:val="32"/>
          <w:szCs w:val="32"/>
        </w:rPr>
        <w:t>发展党员4人，确定入党积极分子7人，递交入党申请书5人</w:t>
      </w:r>
      <w:r>
        <w:rPr>
          <w:rFonts w:hint="eastAsia" w:ascii="仿宋" w:hAnsi="仿宋" w:eastAsia="仿宋"/>
          <w:color w:val="auto"/>
          <w:sz w:val="32"/>
          <w:szCs w:val="32"/>
        </w:rPr>
        <w:t>，同步拟定《四川省都江堰人民渠第二管理处人力资源十四五规划》，</w:t>
      </w:r>
      <w:r>
        <w:rPr>
          <w:rFonts w:ascii="仿宋" w:hAnsi="仿宋" w:eastAsia="仿宋"/>
          <w:color w:val="auto"/>
          <w:sz w:val="32"/>
          <w:szCs w:val="32"/>
        </w:rPr>
        <w:t>建立完善结构合理、素质优良、数量充足的年轻干部队伍后备库。</w:t>
      </w:r>
    </w:p>
    <w:p>
      <w:pPr>
        <w:ind w:firstLine="643" w:firstLineChars="200"/>
        <w:rPr>
          <w:rFonts w:ascii="仿宋" w:hAnsi="仿宋" w:eastAsia="仿宋"/>
          <w:color w:val="auto"/>
          <w:sz w:val="32"/>
          <w:szCs w:val="32"/>
        </w:rPr>
      </w:pPr>
      <w:r>
        <w:rPr>
          <w:rFonts w:hint="eastAsia" w:ascii="仿宋" w:hAnsi="仿宋" w:eastAsia="仿宋"/>
          <w:b/>
          <w:color w:val="auto"/>
          <w:sz w:val="32"/>
          <w:szCs w:val="32"/>
        </w:rPr>
        <w:t>2.强化教育提思想</w:t>
      </w:r>
      <w:r>
        <w:rPr>
          <w:rFonts w:ascii="仿宋" w:hAnsi="仿宋" w:eastAsia="仿宋"/>
          <w:b/>
          <w:color w:val="auto"/>
          <w:sz w:val="32"/>
          <w:szCs w:val="32"/>
        </w:rPr>
        <w:t>,拧紧思想“总开关”。</w:t>
      </w:r>
      <w:r>
        <w:rPr>
          <w:rFonts w:hint="eastAsia" w:ascii="仿宋" w:hAnsi="仿宋" w:eastAsia="仿宋"/>
          <w:color w:val="auto"/>
          <w:sz w:val="32"/>
          <w:szCs w:val="32"/>
        </w:rPr>
        <w:t xml:space="preserve"> 党政领导班子认真落实党风廉政建设主体责任</w:t>
      </w:r>
      <w:r>
        <w:rPr>
          <w:rFonts w:ascii="仿宋" w:hAnsi="仿宋" w:eastAsia="仿宋"/>
          <w:color w:val="auto"/>
          <w:sz w:val="32"/>
          <w:szCs w:val="32"/>
        </w:rPr>
        <w:t>,</w:t>
      </w:r>
      <w:r>
        <w:rPr>
          <w:rFonts w:hint="eastAsia" w:ascii="仿宋" w:hAnsi="仿宋" w:eastAsia="仿宋"/>
          <w:color w:val="auto"/>
          <w:sz w:val="32"/>
          <w:szCs w:val="32"/>
        </w:rPr>
        <w:t xml:space="preserve"> 完善</w:t>
      </w:r>
      <w:r>
        <w:rPr>
          <w:rFonts w:ascii="仿宋" w:hAnsi="仿宋" w:eastAsia="仿宋"/>
          <w:color w:val="auto"/>
          <w:sz w:val="32"/>
          <w:szCs w:val="32"/>
        </w:rPr>
        <w:t>“一岗双责”责任清单</w:t>
      </w:r>
      <w:r>
        <w:rPr>
          <w:rFonts w:hint="eastAsia" w:ascii="仿宋" w:hAnsi="仿宋" w:eastAsia="仿宋"/>
          <w:color w:val="auto"/>
          <w:sz w:val="32"/>
          <w:szCs w:val="32"/>
        </w:rPr>
        <w:t>和</w:t>
      </w:r>
      <w:r>
        <w:rPr>
          <w:rFonts w:ascii="仿宋" w:hAnsi="仿宋" w:eastAsia="仿宋"/>
          <w:color w:val="auto"/>
          <w:sz w:val="32"/>
          <w:szCs w:val="32"/>
        </w:rPr>
        <w:t>党风廉政建设任务分工</w:t>
      </w:r>
      <w:r>
        <w:rPr>
          <w:rFonts w:hint="eastAsia" w:ascii="仿宋" w:hAnsi="仿宋" w:eastAsia="仿宋"/>
          <w:color w:val="auto"/>
          <w:sz w:val="32"/>
          <w:szCs w:val="32"/>
        </w:rPr>
        <w:t>。进一步加强意识形态工作，强化网络阵地建设，制定工作责任制实施细则，开展多种形式组织开展意识形态宣传教育，同时以认真开展“不忘初心、</w:t>
      </w:r>
      <w:r>
        <w:rPr>
          <w:rFonts w:ascii="仿宋" w:hAnsi="仿宋" w:eastAsia="仿宋"/>
          <w:color w:val="auto"/>
          <w:sz w:val="32"/>
          <w:szCs w:val="32"/>
        </w:rPr>
        <w:t>不负韶华”</w:t>
      </w:r>
      <w:r>
        <w:rPr>
          <w:rFonts w:hint="eastAsia" w:ascii="仿宋" w:hAnsi="仿宋" w:eastAsia="仿宋"/>
          <w:color w:val="auto"/>
          <w:sz w:val="32"/>
          <w:szCs w:val="32"/>
        </w:rPr>
        <w:t>等</w:t>
      </w:r>
      <w:r>
        <w:rPr>
          <w:rFonts w:ascii="仿宋" w:hAnsi="仿宋" w:eastAsia="仿宋"/>
          <w:color w:val="auto"/>
          <w:sz w:val="32"/>
          <w:szCs w:val="32"/>
        </w:rPr>
        <w:t>活动</w:t>
      </w:r>
      <w:r>
        <w:rPr>
          <w:rFonts w:hint="eastAsia" w:ascii="仿宋" w:hAnsi="仿宋" w:eastAsia="仿宋"/>
          <w:color w:val="auto"/>
          <w:sz w:val="32"/>
          <w:szCs w:val="32"/>
        </w:rPr>
        <w:t>为契机</w:t>
      </w:r>
      <w:r>
        <w:rPr>
          <w:rFonts w:ascii="仿宋" w:hAnsi="仿宋" w:eastAsia="仿宋"/>
          <w:color w:val="auto"/>
          <w:sz w:val="32"/>
          <w:szCs w:val="32"/>
        </w:rPr>
        <w:t>，巩固主题教育成果</w:t>
      </w:r>
      <w:r>
        <w:rPr>
          <w:rFonts w:hint="eastAsia" w:ascii="仿宋" w:hAnsi="仿宋" w:eastAsia="仿宋"/>
          <w:color w:val="auto"/>
          <w:sz w:val="32"/>
          <w:szCs w:val="32"/>
        </w:rPr>
        <w:t>，让全体党员坚定信念、坚守初心</w:t>
      </w:r>
      <w:r>
        <w:rPr>
          <w:rFonts w:ascii="仿宋" w:hAnsi="仿宋" w:eastAsia="仿宋"/>
          <w:color w:val="auto"/>
          <w:sz w:val="32"/>
          <w:szCs w:val="32"/>
        </w:rPr>
        <w:t>。</w:t>
      </w:r>
      <w:r>
        <w:rPr>
          <w:rFonts w:hint="eastAsia" w:ascii="仿宋" w:hAnsi="仿宋" w:eastAsia="仿宋"/>
          <w:color w:val="auto"/>
          <w:sz w:val="32"/>
          <w:szCs w:val="32"/>
        </w:rPr>
        <w:t>切实做好一名基层职工违反治安管理案件的核实工作，及时按相关规定进行处置，并在单位内部进行通报，加强职工的警示教育，让</w:t>
      </w:r>
      <w:r>
        <w:rPr>
          <w:rFonts w:ascii="仿宋" w:hAnsi="仿宋" w:eastAsia="仿宋"/>
          <w:color w:val="auto"/>
          <w:sz w:val="32"/>
          <w:szCs w:val="32"/>
        </w:rPr>
        <w:t>党员干部在思想上时刻清醒</w:t>
      </w:r>
      <w:r>
        <w:rPr>
          <w:rFonts w:hint="eastAsia" w:ascii="仿宋" w:hAnsi="仿宋" w:eastAsia="仿宋"/>
          <w:color w:val="auto"/>
          <w:sz w:val="32"/>
          <w:szCs w:val="32"/>
        </w:rPr>
        <w:t>、</w:t>
      </w:r>
      <w:r>
        <w:rPr>
          <w:rFonts w:ascii="仿宋" w:hAnsi="仿宋" w:eastAsia="仿宋"/>
          <w:color w:val="auto"/>
          <w:sz w:val="32"/>
          <w:szCs w:val="32"/>
        </w:rPr>
        <w:t>行动上认真践行。</w:t>
      </w:r>
    </w:p>
    <w:p>
      <w:pPr>
        <w:ind w:firstLine="645"/>
        <w:rPr>
          <w:rFonts w:ascii="仿宋" w:hAnsi="仿宋" w:eastAsia="仿宋"/>
          <w:color w:val="auto"/>
          <w:sz w:val="32"/>
          <w:szCs w:val="32"/>
        </w:rPr>
      </w:pPr>
      <w:r>
        <w:rPr>
          <w:rFonts w:hint="eastAsia" w:ascii="仿宋" w:hAnsi="仿宋" w:eastAsia="仿宋"/>
          <w:b/>
          <w:color w:val="auto"/>
          <w:sz w:val="32"/>
          <w:szCs w:val="32"/>
        </w:rPr>
        <w:t>3.完善水文化体系，加大水文化影响力。</w:t>
      </w:r>
      <w:r>
        <w:rPr>
          <w:rFonts w:hint="eastAsia" w:ascii="仿宋" w:hAnsi="仿宋" w:eastAsia="仿宋" w:cs="仿宋"/>
          <w:color w:val="auto"/>
          <w:sz w:val="32"/>
          <w:szCs w:val="32"/>
        </w:rPr>
        <w:t>开展人民渠二处精神征集提炼工作，引导职工传承先辈精神；提炼出“艰苦奋斗，质朴勤勉，开拓创新，砥砺前行”人民渠二处精神；与高校团体联手</w:t>
      </w:r>
      <w:r>
        <w:rPr>
          <w:rFonts w:hint="eastAsia" w:ascii="仿宋" w:hAnsi="仿宋" w:eastAsia="仿宋"/>
          <w:color w:val="auto"/>
          <w:sz w:val="32"/>
          <w:szCs w:val="32"/>
        </w:rPr>
        <w:t xml:space="preserve">推进口述历史，采访退休职工，开展“口述历史”活动，真实记录人民渠建设过程中的感人事迹；与地方政府联手，在德阳市凯州新城的建设中，打造以人民渠为核心的水文化主题公园。  </w:t>
      </w:r>
    </w:p>
    <w:p>
      <w:pPr>
        <w:ind w:firstLine="645"/>
        <w:rPr>
          <w:rFonts w:ascii="仿宋" w:hAnsi="仿宋" w:eastAsia="仿宋"/>
          <w:color w:val="auto"/>
          <w:sz w:val="32"/>
          <w:szCs w:val="32"/>
        </w:rPr>
      </w:pPr>
      <w:r>
        <w:rPr>
          <w:rFonts w:hint="eastAsia" w:ascii="仿宋" w:hAnsi="仿宋" w:eastAsia="仿宋"/>
          <w:b/>
          <w:color w:val="auto"/>
          <w:sz w:val="32"/>
          <w:szCs w:val="32"/>
        </w:rPr>
        <w:t>4.集中力量开展“造血”式脱贫帮扶。</w:t>
      </w:r>
      <w:r>
        <w:rPr>
          <w:rFonts w:hint="eastAsia" w:ascii="仿宋" w:hAnsi="仿宋" w:eastAsia="仿宋"/>
          <w:color w:val="auto"/>
          <w:sz w:val="32"/>
          <w:szCs w:val="32"/>
        </w:rPr>
        <w:t>人民渠二处集全处之力将水利脱贫攻坚落在实处。赴金阳县的督战组成员率先创建“省州县三级联动机制”，协调统筹三级力量决战攻坚，转督战为全面参战；利用微信工作群平台，加强对县乡村水利专管员的指导，不断提高金阳县农村饮水安全的可持续发展。在</w:t>
      </w:r>
      <w:r>
        <w:rPr>
          <w:rFonts w:ascii="仿宋" w:hAnsi="仿宋" w:eastAsia="仿宋"/>
          <w:color w:val="auto"/>
          <w:sz w:val="32"/>
          <w:szCs w:val="32"/>
        </w:rPr>
        <w:t>6月30日前，有序、有力、有效地完成各级布置的工作任务。</w:t>
      </w:r>
      <w:r>
        <w:rPr>
          <w:rFonts w:hint="eastAsia" w:ascii="仿宋" w:hAnsi="仿宋" w:eastAsia="仿宋"/>
          <w:color w:val="auto"/>
          <w:sz w:val="32"/>
          <w:szCs w:val="32"/>
        </w:rPr>
        <w:t>巩固甘孜州德格县血呷村定点帮扶脱贫攻坚成果，制定并有序推进定点帮扶</w:t>
      </w:r>
      <w:r>
        <w:rPr>
          <w:rFonts w:ascii="仿宋" w:hAnsi="仿宋" w:eastAsia="仿宋"/>
          <w:color w:val="auto"/>
          <w:sz w:val="32"/>
          <w:szCs w:val="32"/>
        </w:rPr>
        <w:t>2020年工作规划，深化处领导、党支部结对帮扶成果，扎实推进血呷村水保项目，教育帮扶、产业帮扶以及基础设施帮扶, 保障德格定点帮扶的措施、资金、人力到位。</w:t>
      </w:r>
    </w:p>
    <w:p>
      <w:pPr>
        <w:widowControl/>
        <w:ind w:firstLine="643" w:firstLineChars="200"/>
        <w:jc w:val="left"/>
        <w:rPr>
          <w:rFonts w:ascii="仿宋" w:hAnsi="仿宋" w:eastAsia="仿宋"/>
          <w:color w:val="auto"/>
          <w:kern w:val="0"/>
          <w:sz w:val="32"/>
          <w:szCs w:val="32"/>
        </w:rPr>
      </w:pPr>
      <w:r>
        <w:rPr>
          <w:rFonts w:hint="eastAsia" w:ascii="仿宋" w:hAnsi="仿宋" w:eastAsia="仿宋"/>
          <w:b/>
          <w:color w:val="auto"/>
          <w:sz w:val="32"/>
          <w:szCs w:val="32"/>
        </w:rPr>
        <w:t>5.单位群团工作有序推进。</w:t>
      </w:r>
      <w:r>
        <w:rPr>
          <w:rFonts w:hint="eastAsia" w:ascii="仿宋" w:hAnsi="仿宋" w:eastAsia="仿宋"/>
          <w:color w:val="auto"/>
          <w:kern w:val="0"/>
          <w:sz w:val="32"/>
          <w:szCs w:val="32"/>
        </w:rPr>
        <w:t>加强</w:t>
      </w:r>
      <w:r>
        <w:rPr>
          <w:rFonts w:ascii="仿宋" w:hAnsi="仿宋" w:eastAsia="仿宋"/>
          <w:color w:val="auto"/>
          <w:kern w:val="0"/>
          <w:sz w:val="32"/>
          <w:szCs w:val="32"/>
        </w:rPr>
        <w:t>阵地建设，</w:t>
      </w:r>
      <w:r>
        <w:rPr>
          <w:rFonts w:hint="eastAsia" w:ascii="仿宋" w:hAnsi="仿宋" w:eastAsia="仿宋"/>
          <w:color w:val="auto"/>
          <w:kern w:val="0"/>
          <w:sz w:val="32"/>
          <w:szCs w:val="32"/>
        </w:rPr>
        <w:t>增设职工文体活动场所，广泛开展职工兴趣小组活动；处团委组织的“阅青春</w:t>
      </w:r>
      <w:r>
        <w:rPr>
          <w:rFonts w:hint="eastAsia" w:ascii="宋体" w:hAnsi="宋体" w:eastAsia="宋体"/>
          <w:color w:val="auto"/>
          <w:kern w:val="0"/>
          <w:sz w:val="32"/>
          <w:szCs w:val="32"/>
        </w:rPr>
        <w:t>•</w:t>
      </w:r>
      <w:r>
        <w:rPr>
          <w:rFonts w:hint="eastAsia" w:ascii="仿宋" w:hAnsi="仿宋" w:eastAsia="仿宋" w:cs="仿宋"/>
          <w:color w:val="auto"/>
          <w:kern w:val="0"/>
          <w:sz w:val="32"/>
          <w:szCs w:val="32"/>
        </w:rPr>
        <w:t>阅努力</w:t>
      </w:r>
      <w:r>
        <w:rPr>
          <w:rFonts w:hint="eastAsia" w:ascii="宋体" w:hAnsi="宋体" w:eastAsia="宋体"/>
          <w:color w:val="auto"/>
          <w:kern w:val="0"/>
          <w:sz w:val="32"/>
          <w:szCs w:val="32"/>
        </w:rPr>
        <w:t>•</w:t>
      </w:r>
      <w:r>
        <w:rPr>
          <w:rFonts w:hint="eastAsia" w:ascii="仿宋" w:hAnsi="仿宋" w:eastAsia="仿宋" w:cs="仿宋"/>
          <w:color w:val="auto"/>
          <w:kern w:val="0"/>
          <w:sz w:val="32"/>
          <w:szCs w:val="32"/>
        </w:rPr>
        <w:t>阅初心</w:t>
      </w:r>
      <w:r>
        <w:rPr>
          <w:rFonts w:hint="eastAsia" w:ascii="宋体" w:hAnsi="宋体" w:eastAsia="宋体"/>
          <w:color w:val="auto"/>
          <w:kern w:val="0"/>
          <w:sz w:val="32"/>
          <w:szCs w:val="32"/>
        </w:rPr>
        <w:t>•</w:t>
      </w:r>
      <w:r>
        <w:rPr>
          <w:rFonts w:hint="eastAsia" w:ascii="仿宋" w:hAnsi="仿宋" w:eastAsia="仿宋" w:cs="仿宋"/>
          <w:color w:val="auto"/>
          <w:kern w:val="0"/>
          <w:sz w:val="32"/>
          <w:szCs w:val="32"/>
        </w:rPr>
        <w:t>阅践行”读习语金句网络接力成果被省直机关团工委作为优秀作品进行展示。群团组织齐头并进，职工凝聚力和主人翁意识增强，</w:t>
      </w:r>
      <w:r>
        <w:rPr>
          <w:rFonts w:hint="eastAsia" w:ascii="仿宋" w:hAnsi="仿宋" w:eastAsia="仿宋"/>
          <w:color w:val="auto"/>
          <w:sz w:val="32"/>
          <w:szCs w:val="32"/>
        </w:rPr>
        <w:t>面对年初的新冠疫情，</w:t>
      </w:r>
      <w:r>
        <w:rPr>
          <w:rFonts w:ascii="仿宋" w:hAnsi="仿宋" w:eastAsia="仿宋"/>
          <w:color w:val="auto"/>
          <w:sz w:val="32"/>
          <w:szCs w:val="32"/>
        </w:rPr>
        <w:t>人民渠二处</w:t>
      </w:r>
      <w:r>
        <w:rPr>
          <w:rFonts w:hint="eastAsia" w:ascii="仿宋" w:hAnsi="仿宋" w:eastAsia="仿宋"/>
          <w:color w:val="auto"/>
          <w:sz w:val="32"/>
          <w:szCs w:val="32"/>
        </w:rPr>
        <w:t>全体</w:t>
      </w:r>
      <w:r>
        <w:rPr>
          <w:rFonts w:ascii="仿宋" w:hAnsi="仿宋" w:eastAsia="仿宋"/>
          <w:color w:val="auto"/>
          <w:sz w:val="32"/>
          <w:szCs w:val="32"/>
        </w:rPr>
        <w:t>职工表现出强烈的大局观念和全局意识，</w:t>
      </w:r>
      <w:r>
        <w:rPr>
          <w:rFonts w:hint="eastAsia" w:ascii="仿宋" w:hAnsi="仿宋" w:eastAsia="仿宋"/>
          <w:color w:val="auto"/>
          <w:sz w:val="32"/>
          <w:szCs w:val="32"/>
        </w:rPr>
        <w:t>从</w:t>
      </w:r>
      <w:r>
        <w:rPr>
          <w:rFonts w:ascii="仿宋" w:hAnsi="仿宋" w:eastAsia="仿宋"/>
          <w:color w:val="auto"/>
          <w:sz w:val="32"/>
          <w:szCs w:val="32"/>
        </w:rPr>
        <w:t>落实一级响应</w:t>
      </w:r>
      <w:r>
        <w:rPr>
          <w:rFonts w:hint="eastAsia" w:ascii="仿宋" w:hAnsi="仿宋" w:eastAsia="仿宋"/>
          <w:color w:val="auto"/>
          <w:sz w:val="32"/>
          <w:szCs w:val="32"/>
        </w:rPr>
        <w:t>到</w:t>
      </w:r>
      <w:r>
        <w:rPr>
          <w:rFonts w:ascii="仿宋" w:hAnsi="仿宋" w:eastAsia="仿宋"/>
          <w:color w:val="auto"/>
          <w:sz w:val="32"/>
          <w:szCs w:val="32"/>
        </w:rPr>
        <w:t>防控常态</w:t>
      </w:r>
      <w:r>
        <w:rPr>
          <w:rFonts w:hint="eastAsia" w:ascii="仿宋" w:hAnsi="仿宋" w:eastAsia="仿宋"/>
          <w:color w:val="auto"/>
          <w:sz w:val="32"/>
          <w:szCs w:val="32"/>
        </w:rPr>
        <w:t>化</w:t>
      </w:r>
      <w:r>
        <w:rPr>
          <w:rFonts w:ascii="仿宋" w:hAnsi="仿宋" w:eastAsia="仿宋"/>
          <w:color w:val="auto"/>
          <w:sz w:val="32"/>
          <w:szCs w:val="32"/>
        </w:rPr>
        <w:t>，</w:t>
      </w:r>
      <w:r>
        <w:rPr>
          <w:rFonts w:hint="eastAsia" w:ascii="仿宋" w:hAnsi="仿宋" w:eastAsia="仿宋"/>
          <w:color w:val="auto"/>
          <w:sz w:val="32"/>
          <w:szCs w:val="32"/>
        </w:rPr>
        <w:t>各自</w:t>
      </w:r>
      <w:r>
        <w:rPr>
          <w:rFonts w:ascii="仿宋" w:hAnsi="仿宋" w:eastAsia="仿宋"/>
          <w:color w:val="auto"/>
          <w:sz w:val="32"/>
          <w:szCs w:val="32"/>
        </w:rPr>
        <w:t>立足岗位，</w:t>
      </w:r>
      <w:r>
        <w:rPr>
          <w:rFonts w:hint="eastAsia" w:ascii="仿宋" w:hAnsi="仿宋" w:eastAsia="仿宋"/>
          <w:color w:val="auto"/>
          <w:sz w:val="32"/>
          <w:szCs w:val="32"/>
        </w:rPr>
        <w:t>主动担当作为</w:t>
      </w:r>
      <w:r>
        <w:rPr>
          <w:rFonts w:ascii="仿宋" w:hAnsi="仿宋" w:eastAsia="仿宋"/>
          <w:color w:val="auto"/>
          <w:sz w:val="32"/>
          <w:szCs w:val="32"/>
        </w:rPr>
        <w:t>，</w:t>
      </w:r>
      <w:r>
        <w:rPr>
          <w:rFonts w:hint="eastAsia" w:ascii="仿宋" w:hAnsi="仿宋" w:eastAsia="仿宋"/>
          <w:color w:val="auto"/>
          <w:sz w:val="32"/>
          <w:szCs w:val="32"/>
        </w:rPr>
        <w:t>凝聚起群防群治的力量，</w:t>
      </w:r>
      <w:r>
        <w:rPr>
          <w:rFonts w:ascii="仿宋" w:hAnsi="仿宋" w:eastAsia="仿宋"/>
          <w:color w:val="auto"/>
          <w:sz w:val="32"/>
          <w:szCs w:val="32"/>
        </w:rPr>
        <w:t>疫情防控措施</w:t>
      </w:r>
      <w:r>
        <w:rPr>
          <w:rFonts w:hint="eastAsia" w:ascii="仿宋" w:hAnsi="仿宋" w:eastAsia="仿宋"/>
          <w:color w:val="auto"/>
          <w:sz w:val="32"/>
          <w:szCs w:val="32"/>
        </w:rPr>
        <w:t>、</w:t>
      </w:r>
      <w:r>
        <w:rPr>
          <w:rFonts w:ascii="仿宋" w:hAnsi="仿宋" w:eastAsia="仿宋"/>
          <w:color w:val="auto"/>
          <w:sz w:val="32"/>
          <w:szCs w:val="32"/>
        </w:rPr>
        <w:t>防疫物资保障到位</w:t>
      </w:r>
      <w:r>
        <w:rPr>
          <w:rFonts w:hint="eastAsia" w:ascii="仿宋" w:hAnsi="仿宋" w:eastAsia="仿宋" w:cs="仿宋"/>
          <w:color w:val="auto"/>
          <w:kern w:val="0"/>
          <w:sz w:val="32"/>
          <w:szCs w:val="32"/>
        </w:rPr>
        <w:t>。</w:t>
      </w:r>
      <w:r>
        <w:rPr>
          <w:rFonts w:ascii="仿宋" w:hAnsi="仿宋" w:eastAsia="仿宋"/>
          <w:color w:val="auto"/>
          <w:sz w:val="32"/>
          <w:szCs w:val="32"/>
        </w:rPr>
        <w:br w:type="page"/>
      </w:r>
    </w:p>
    <w:p>
      <w:pPr>
        <w:pStyle w:val="3"/>
        <w:ind w:right="440"/>
        <w:jc w:val="center"/>
        <w:rPr>
          <w:rStyle w:val="26"/>
          <w:rFonts w:ascii="黑体" w:hAnsi="黑体" w:eastAsia="黑体"/>
          <w:b w:val="0"/>
          <w:bCs/>
          <w:color w:val="auto"/>
        </w:rPr>
      </w:pPr>
      <w:bookmarkStart w:id="16" w:name="_Toc15377204"/>
      <w:bookmarkStart w:id="17" w:name="_Toc15396602"/>
      <w:r>
        <w:rPr>
          <w:rFonts w:hint="eastAsia" w:ascii="黑体" w:hAnsi="黑体" w:eastAsia="黑体"/>
          <w:b w:val="0"/>
          <w:bCs/>
          <w:color w:val="auto"/>
        </w:rPr>
        <w:t xml:space="preserve">第二部分 </w:t>
      </w:r>
      <w:r>
        <w:rPr>
          <w:rFonts w:hint="eastAsia" w:ascii="黑体" w:hAnsi="黑体" w:eastAsia="黑体"/>
          <w:b w:val="0"/>
          <w:bCs/>
          <w:color w:val="auto"/>
          <w:lang w:val="en-US" w:eastAsia="zh-CN"/>
        </w:rPr>
        <w:t>2020年度单位</w:t>
      </w:r>
      <w:r>
        <w:rPr>
          <w:rStyle w:val="26"/>
          <w:rFonts w:hint="eastAsia" w:ascii="黑体" w:hAnsi="黑体" w:eastAsia="黑体"/>
          <w:b w:val="0"/>
          <w:bCs/>
          <w:color w:val="auto"/>
        </w:rPr>
        <w:t>决算情况说明</w:t>
      </w:r>
      <w:bookmarkEnd w:id="16"/>
      <w:bookmarkEnd w:id="17"/>
    </w:p>
    <w:p>
      <w:pPr>
        <w:rPr>
          <w:color w:val="auto"/>
        </w:rPr>
      </w:pPr>
    </w:p>
    <w:p>
      <w:pPr>
        <w:pStyle w:val="25"/>
        <w:numPr>
          <w:ilvl w:val="0"/>
          <w:numId w:val="2"/>
        </w:numPr>
        <w:spacing w:line="600" w:lineRule="exact"/>
        <w:ind w:firstLineChars="0"/>
        <w:outlineLvl w:val="1"/>
        <w:rPr>
          <w:rStyle w:val="27"/>
          <w:rFonts w:ascii="黑体" w:hAnsi="黑体" w:eastAsia="黑体"/>
          <w:b w:val="0"/>
          <w:color w:val="auto"/>
        </w:rPr>
      </w:pPr>
      <w:bookmarkStart w:id="18" w:name="_Toc15377205"/>
      <w:bookmarkStart w:id="19" w:name="_Toc15396603"/>
      <w:r>
        <w:rPr>
          <w:rFonts w:hint="eastAsia" w:ascii="黑体" w:hAnsi="黑体" w:eastAsia="黑体"/>
          <w:color w:val="auto"/>
          <w:sz w:val="32"/>
          <w:szCs w:val="32"/>
        </w:rPr>
        <w:t>收</w:t>
      </w:r>
      <w:r>
        <w:rPr>
          <w:rStyle w:val="27"/>
          <w:rFonts w:hint="eastAsia" w:ascii="黑体" w:hAnsi="黑体" w:eastAsia="黑体"/>
          <w:b w:val="0"/>
          <w:color w:val="auto"/>
        </w:rPr>
        <w:t>入支出决算总体情况说明</w:t>
      </w:r>
      <w:bookmarkEnd w:id="18"/>
      <w:bookmarkEnd w:id="19"/>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年度收、支总计8783.23万元。与201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年相比，收、支总计各增加5384.48万元，增长</w:t>
      </w:r>
      <w:r>
        <w:rPr>
          <w:rFonts w:hint="eastAsia" w:ascii="仿宋" w:hAnsi="仿宋" w:eastAsia="仿宋"/>
          <w:color w:val="auto"/>
          <w:sz w:val="32"/>
          <w:szCs w:val="32"/>
          <w:lang w:val="en-US" w:eastAsia="zh-CN"/>
        </w:rPr>
        <w:t>158.42</w:t>
      </w:r>
      <w:r>
        <w:rPr>
          <w:rFonts w:ascii="仿宋" w:hAnsi="仿宋" w:eastAsia="仿宋"/>
          <w:color w:val="auto"/>
          <w:sz w:val="32"/>
          <w:szCs w:val="32"/>
        </w:rPr>
        <w:t>%</w:t>
      </w:r>
      <w:r>
        <w:rPr>
          <w:rFonts w:hint="eastAsia" w:ascii="仿宋" w:hAnsi="仿宋" w:eastAsia="仿宋"/>
          <w:color w:val="auto"/>
          <w:sz w:val="32"/>
          <w:szCs w:val="32"/>
        </w:rPr>
        <w:t>。主要变动原因是因事企分离改革将公司收入业务转入事业单位收入业务</w:t>
      </w:r>
      <w:r>
        <w:rPr>
          <w:rFonts w:hint="eastAsia" w:ascii="仿宋" w:hAnsi="仿宋" w:eastAsia="仿宋"/>
          <w:color w:val="auto"/>
          <w:sz w:val="32"/>
          <w:szCs w:val="32"/>
          <w:lang w:eastAsia="zh-CN"/>
        </w:rPr>
        <w:t>；</w:t>
      </w:r>
      <w:r>
        <w:rPr>
          <w:rFonts w:hint="eastAsia" w:ascii="仿宋" w:hAnsi="仿宋" w:eastAsia="仿宋"/>
          <w:color w:val="auto"/>
          <w:sz w:val="32"/>
          <w:szCs w:val="32"/>
        </w:rPr>
        <w:t>2020年中追加防汛资金2895万元，2019年无此拨款</w:t>
      </w:r>
      <w:r>
        <w:rPr>
          <w:rFonts w:hint="eastAsia" w:ascii="仿宋" w:hAnsi="仿宋" w:eastAsia="仿宋"/>
          <w:color w:val="auto"/>
          <w:sz w:val="32"/>
          <w:szCs w:val="32"/>
          <w:lang w:eastAsia="zh-CN"/>
        </w:rPr>
        <w:t>；</w:t>
      </w:r>
      <w:r>
        <w:rPr>
          <w:rFonts w:hint="eastAsia" w:ascii="仿宋" w:hAnsi="仿宋" w:eastAsia="仿宋"/>
          <w:color w:val="auto"/>
          <w:sz w:val="32"/>
          <w:szCs w:val="32"/>
        </w:rPr>
        <w:t>基建资金拨款</w:t>
      </w:r>
      <w:r>
        <w:rPr>
          <w:rFonts w:hint="eastAsia" w:ascii="仿宋" w:hAnsi="仿宋" w:eastAsia="仿宋"/>
          <w:color w:val="auto"/>
          <w:sz w:val="32"/>
          <w:szCs w:val="32"/>
          <w:lang w:val="en-US" w:eastAsia="zh-CN"/>
        </w:rPr>
        <w:t>增加548</w:t>
      </w:r>
      <w:r>
        <w:rPr>
          <w:rFonts w:hint="eastAsia" w:ascii="仿宋" w:hAnsi="仿宋" w:eastAsia="仿宋"/>
          <w:color w:val="auto"/>
          <w:sz w:val="32"/>
          <w:szCs w:val="32"/>
        </w:rPr>
        <w:t>万元。</w:t>
      </w:r>
    </w:p>
    <w:p>
      <w:pPr>
        <w:pStyle w:val="2"/>
        <w:rPr>
          <w:rFonts w:hint="eastAsia"/>
        </w:rPr>
      </w:pPr>
    </w:p>
    <w:p>
      <w:pPr>
        <w:pStyle w:val="6"/>
        <w:rPr>
          <w:rFonts w:hint="eastAsia" w:eastAsia="仿宋_GB2312"/>
          <w:color w:val="auto"/>
          <w:lang w:eastAsia="zh-CN"/>
        </w:rPr>
      </w:pPr>
      <w:r>
        <w:rPr>
          <w:rFonts w:hint="eastAsia" w:eastAsia="仿宋_GB2312"/>
          <w:color w:val="auto"/>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Start w:id="67" w:name="_GoBack"/>
      <w:bookmarkEnd w:id="67"/>
    </w:p>
    <w:p>
      <w:pPr>
        <w:pStyle w:val="6"/>
        <w:rPr>
          <w:rFonts w:hint="default" w:eastAsia="仿宋_GB2312"/>
          <w:color w:val="auto"/>
          <w:lang w:val="en-US" w:eastAsia="zh-CN"/>
        </w:rPr>
      </w:pPr>
      <w:r>
        <w:rPr>
          <w:rFonts w:hint="eastAsia"/>
          <w:color w:val="auto"/>
          <w:lang w:val="en-US" w:eastAsia="zh-CN"/>
        </w:rPr>
        <w:t xml:space="preserve">          </w:t>
      </w:r>
      <w:r>
        <w:rPr>
          <w:rFonts w:hint="eastAsia" w:ascii="仿宋" w:hAnsi="仿宋" w:eastAsia="仿宋"/>
          <w:color w:val="auto"/>
          <w:sz w:val="32"/>
          <w:szCs w:val="32"/>
        </w:rPr>
        <w:t>（图</w:t>
      </w:r>
      <w:r>
        <w:rPr>
          <w:rFonts w:ascii="仿宋" w:hAnsi="仿宋" w:eastAsia="仿宋"/>
          <w:color w:val="auto"/>
          <w:sz w:val="32"/>
          <w:szCs w:val="32"/>
        </w:rPr>
        <w:t>1</w:t>
      </w:r>
      <w:r>
        <w:rPr>
          <w:rFonts w:hint="eastAsia" w:ascii="仿宋" w:hAnsi="仿宋" w:eastAsia="仿宋"/>
          <w:color w:val="auto"/>
          <w:sz w:val="32"/>
          <w:szCs w:val="32"/>
        </w:rPr>
        <w:t>：收、支决算总计变动情况图）</w:t>
      </w:r>
    </w:p>
    <w:p>
      <w:pPr>
        <w:pStyle w:val="25"/>
        <w:numPr>
          <w:ilvl w:val="0"/>
          <w:numId w:val="2"/>
        </w:numPr>
        <w:spacing w:line="600" w:lineRule="exact"/>
        <w:ind w:firstLineChars="0"/>
        <w:outlineLvl w:val="1"/>
        <w:rPr>
          <w:rStyle w:val="27"/>
          <w:rFonts w:ascii="黑体" w:hAnsi="黑体" w:eastAsia="黑体"/>
          <w:b w:val="0"/>
          <w:color w:val="auto"/>
        </w:rPr>
      </w:pPr>
      <w:bookmarkStart w:id="20" w:name="_Toc15396604"/>
      <w:bookmarkStart w:id="21" w:name="_Toc15377206"/>
      <w:r>
        <w:rPr>
          <w:rFonts w:hint="eastAsia" w:ascii="黑体" w:hAnsi="黑体" w:eastAsia="黑体"/>
          <w:color w:val="auto"/>
          <w:sz w:val="32"/>
          <w:szCs w:val="32"/>
        </w:rPr>
        <w:t>收</w:t>
      </w:r>
      <w:r>
        <w:rPr>
          <w:rStyle w:val="27"/>
          <w:rFonts w:hint="eastAsia" w:ascii="黑体" w:hAnsi="黑体" w:eastAsia="黑体"/>
          <w:b w:val="0"/>
          <w:color w:val="auto"/>
        </w:rPr>
        <w:t>入决算情况说明</w:t>
      </w:r>
      <w:bookmarkEnd w:id="20"/>
      <w:bookmarkEnd w:id="21"/>
    </w:p>
    <w:p>
      <w:pPr>
        <w:spacing w:line="600" w:lineRule="exact"/>
        <w:ind w:firstLine="640" w:firstLineChars="200"/>
        <w:outlineLvl w:val="1"/>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年本年收入合计8783.23万元，其中：一般公共预算财政拨款收入8608.24万元，占</w:t>
      </w:r>
      <w:r>
        <w:rPr>
          <w:rFonts w:hint="eastAsia" w:ascii="仿宋" w:hAnsi="仿宋" w:eastAsia="仿宋"/>
          <w:color w:val="auto"/>
          <w:sz w:val="32"/>
          <w:szCs w:val="32"/>
          <w:lang w:val="en-US" w:eastAsia="zh-CN"/>
        </w:rPr>
        <w:t>98</w:t>
      </w:r>
      <w:r>
        <w:rPr>
          <w:rFonts w:ascii="仿宋" w:hAnsi="仿宋" w:eastAsia="仿宋"/>
          <w:color w:val="auto"/>
          <w:sz w:val="32"/>
          <w:szCs w:val="32"/>
        </w:rPr>
        <w:t>%</w:t>
      </w:r>
      <w:r>
        <w:rPr>
          <w:rFonts w:hint="eastAsia" w:ascii="仿宋" w:hAnsi="仿宋" w:eastAsia="仿宋"/>
          <w:color w:val="auto"/>
          <w:sz w:val="32"/>
          <w:szCs w:val="32"/>
        </w:rPr>
        <w:t>；事业收入174.99万元，占</w:t>
      </w:r>
      <w:r>
        <w:rPr>
          <w:rFonts w:hint="eastAsia" w:ascii="仿宋" w:hAnsi="仿宋" w:eastAsia="仿宋"/>
          <w:color w:val="auto"/>
          <w:sz w:val="32"/>
          <w:szCs w:val="32"/>
          <w:lang w:val="en-US" w:eastAsia="zh-CN"/>
        </w:rPr>
        <w:t>2</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640" w:firstLineChars="200"/>
        <w:outlineLvl w:val="1"/>
        <w:rPr>
          <w:rFonts w:ascii="仿宋" w:hAnsi="仿宋" w:eastAsia="仿宋"/>
          <w:color w:val="auto"/>
          <w:sz w:val="32"/>
          <w:szCs w:val="32"/>
        </w:rPr>
      </w:pPr>
    </w:p>
    <w:p>
      <w:pPr>
        <w:pStyle w:val="6"/>
        <w:rPr>
          <w:rFonts w:hint="eastAsia" w:eastAsia="仿宋"/>
          <w:color w:val="auto"/>
          <w:lang w:eastAsia="zh-CN"/>
        </w:rPr>
      </w:pPr>
      <w:r>
        <w:rPr>
          <w:rFonts w:hint="eastAsia" w:eastAsia="仿宋"/>
          <w:color w:val="auto"/>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6"/>
        <w:jc w:val="center"/>
        <w:rPr>
          <w:rFonts w:hint="eastAsia" w:eastAsia="仿宋"/>
          <w:color w:val="auto"/>
          <w:lang w:eastAsia="zh-CN"/>
        </w:rPr>
      </w:pPr>
      <w:r>
        <w:rPr>
          <w:rFonts w:hint="eastAsia" w:ascii="仿宋" w:hAnsi="仿宋" w:eastAsia="仿宋"/>
          <w:color w:val="auto"/>
          <w:sz w:val="32"/>
          <w:szCs w:val="32"/>
        </w:rPr>
        <w:t>（图2：收入决算结构图）</w:t>
      </w:r>
    </w:p>
    <w:p>
      <w:pPr>
        <w:spacing w:line="600" w:lineRule="exact"/>
        <w:ind w:firstLine="640" w:firstLineChars="200"/>
        <w:rPr>
          <w:rFonts w:ascii="仿宋_GB2312" w:eastAsia="仿宋_GB2312"/>
          <w:color w:val="auto"/>
          <w:sz w:val="32"/>
          <w:szCs w:val="32"/>
        </w:rPr>
      </w:pPr>
    </w:p>
    <w:p>
      <w:pPr>
        <w:pStyle w:val="25"/>
        <w:numPr>
          <w:ilvl w:val="0"/>
          <w:numId w:val="2"/>
        </w:numPr>
        <w:spacing w:line="600" w:lineRule="exact"/>
        <w:ind w:firstLineChars="0"/>
        <w:outlineLvl w:val="1"/>
        <w:rPr>
          <w:rStyle w:val="27"/>
          <w:rFonts w:ascii="黑体" w:hAnsi="黑体" w:eastAsia="黑体"/>
          <w:b w:val="0"/>
          <w:color w:val="auto"/>
        </w:rPr>
      </w:pPr>
      <w:bookmarkStart w:id="22" w:name="_Toc15377207"/>
      <w:bookmarkStart w:id="23" w:name="_Toc15396605"/>
      <w:r>
        <w:rPr>
          <w:rFonts w:hint="eastAsia" w:ascii="黑体" w:hAnsi="黑体" w:eastAsia="黑体"/>
          <w:color w:val="auto"/>
          <w:sz w:val="32"/>
          <w:szCs w:val="32"/>
        </w:rPr>
        <w:t>支</w:t>
      </w:r>
      <w:r>
        <w:rPr>
          <w:rStyle w:val="27"/>
          <w:rFonts w:hint="eastAsia" w:ascii="黑体" w:hAnsi="黑体" w:eastAsia="黑体"/>
          <w:b w:val="0"/>
          <w:color w:val="auto"/>
        </w:rPr>
        <w:t>出决算情况说明</w:t>
      </w:r>
      <w:bookmarkEnd w:id="22"/>
      <w:bookmarkEnd w:id="23"/>
    </w:p>
    <w:p>
      <w:pPr>
        <w:spacing w:line="600" w:lineRule="exact"/>
        <w:ind w:firstLine="640" w:firstLineChars="200"/>
        <w:outlineLvl w:val="1"/>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年本年支出合计8783.23万元，其中：基本支出3325.64万元，占</w:t>
      </w:r>
      <w:r>
        <w:rPr>
          <w:rFonts w:hint="eastAsia" w:ascii="仿宋" w:hAnsi="仿宋" w:eastAsia="仿宋"/>
          <w:color w:val="auto"/>
          <w:sz w:val="32"/>
          <w:szCs w:val="32"/>
          <w:lang w:val="en-US" w:eastAsia="zh-CN"/>
        </w:rPr>
        <w:t>37.86</w:t>
      </w:r>
      <w:r>
        <w:rPr>
          <w:rFonts w:ascii="仿宋" w:hAnsi="仿宋" w:eastAsia="仿宋"/>
          <w:color w:val="auto"/>
          <w:sz w:val="32"/>
          <w:szCs w:val="32"/>
        </w:rPr>
        <w:t>%</w:t>
      </w:r>
      <w:r>
        <w:rPr>
          <w:rFonts w:hint="eastAsia" w:ascii="仿宋" w:hAnsi="仿宋" w:eastAsia="仿宋"/>
          <w:color w:val="auto"/>
          <w:sz w:val="32"/>
          <w:szCs w:val="32"/>
        </w:rPr>
        <w:t>；项目支出5457.59万元，占</w:t>
      </w:r>
      <w:r>
        <w:rPr>
          <w:rFonts w:hint="eastAsia" w:ascii="仿宋" w:hAnsi="仿宋" w:eastAsia="仿宋"/>
          <w:color w:val="auto"/>
          <w:sz w:val="32"/>
          <w:szCs w:val="32"/>
          <w:lang w:val="en-US" w:eastAsia="zh-CN"/>
        </w:rPr>
        <w:t>62.14</w:t>
      </w:r>
      <w:r>
        <w:rPr>
          <w:rFonts w:ascii="仿宋" w:hAnsi="仿宋" w:eastAsia="仿宋"/>
          <w:color w:val="auto"/>
          <w:sz w:val="32"/>
          <w:szCs w:val="32"/>
        </w:rPr>
        <w:t>%</w:t>
      </w:r>
      <w:r>
        <w:rPr>
          <w:rFonts w:hint="eastAsia" w:ascii="仿宋" w:hAnsi="仿宋" w:eastAsia="仿宋"/>
          <w:color w:val="auto"/>
          <w:sz w:val="32"/>
          <w:szCs w:val="32"/>
        </w:rPr>
        <w:t>。</w:t>
      </w:r>
    </w:p>
    <w:p>
      <w:pPr>
        <w:pStyle w:val="6"/>
        <w:rPr>
          <w:rFonts w:hint="eastAsia" w:eastAsia="仿宋"/>
          <w:color w:val="auto"/>
          <w:lang w:eastAsia="zh-CN"/>
        </w:rPr>
      </w:pPr>
      <w:r>
        <w:rPr>
          <w:rFonts w:hint="eastAsia" w:eastAsia="仿宋"/>
          <w:color w:val="auto"/>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hint="eastAsia" w:ascii="仿宋" w:hAnsi="仿宋" w:eastAsia="仿宋"/>
          <w:color w:val="auto"/>
          <w:sz w:val="32"/>
          <w:szCs w:val="32"/>
        </w:rPr>
      </w:pPr>
      <w:r>
        <w:rPr>
          <w:rFonts w:hint="eastAsia" w:ascii="仿宋" w:hAnsi="仿宋" w:eastAsia="仿宋"/>
          <w:color w:val="auto"/>
          <w:sz w:val="32"/>
          <w:szCs w:val="32"/>
        </w:rPr>
        <w:t>（图3：支出决算结构图）</w:t>
      </w:r>
    </w:p>
    <w:p>
      <w:pPr>
        <w:spacing w:line="600" w:lineRule="exact"/>
        <w:ind w:firstLine="640" w:firstLineChars="200"/>
        <w:rPr>
          <w:rFonts w:ascii="仿宋_GB2312" w:eastAsia="仿宋_GB2312"/>
          <w:color w:val="auto"/>
          <w:sz w:val="32"/>
          <w:szCs w:val="32"/>
        </w:rPr>
      </w:pPr>
    </w:p>
    <w:p>
      <w:pPr>
        <w:spacing w:line="600" w:lineRule="exact"/>
        <w:ind w:firstLine="640" w:firstLineChars="200"/>
        <w:outlineLvl w:val="1"/>
        <w:rPr>
          <w:rStyle w:val="27"/>
          <w:rFonts w:ascii="黑体" w:hAnsi="黑体" w:eastAsia="黑体"/>
          <w:b w:val="0"/>
          <w:color w:val="auto"/>
        </w:rPr>
      </w:pPr>
      <w:bookmarkStart w:id="24" w:name="_Toc15377208"/>
      <w:bookmarkStart w:id="25" w:name="_Toc15396606"/>
      <w:r>
        <w:rPr>
          <w:rFonts w:hint="eastAsia" w:ascii="黑体" w:hAnsi="黑体" w:eastAsia="黑体"/>
          <w:color w:val="auto"/>
          <w:sz w:val="32"/>
          <w:szCs w:val="32"/>
        </w:rPr>
        <w:t>四、财</w:t>
      </w:r>
      <w:r>
        <w:rPr>
          <w:rStyle w:val="27"/>
          <w:rFonts w:hint="eastAsia" w:ascii="黑体" w:hAnsi="黑体" w:eastAsia="黑体"/>
          <w:b w:val="0"/>
          <w:color w:val="auto"/>
        </w:rPr>
        <w:t>政拨款收入支出决算总体情况说明</w:t>
      </w:r>
      <w:bookmarkEnd w:id="24"/>
      <w:bookmarkEnd w:id="25"/>
    </w:p>
    <w:p>
      <w:pPr>
        <w:spacing w:line="600" w:lineRule="exact"/>
        <w:ind w:firstLine="640"/>
        <w:rPr>
          <w:rFonts w:hint="eastAsia"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年财政拨款收、支总计8608.24万元。与</w:t>
      </w:r>
      <w:r>
        <w:rPr>
          <w:rFonts w:ascii="仿宋" w:hAnsi="仿宋" w:eastAsia="仿宋"/>
          <w:color w:val="auto"/>
          <w:sz w:val="32"/>
          <w:szCs w:val="32"/>
        </w:rPr>
        <w:t>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年相比，财政拨款收、支总计各增加5994.54万元，增长</w:t>
      </w:r>
      <w:r>
        <w:rPr>
          <w:rFonts w:hint="eastAsia" w:ascii="仿宋" w:hAnsi="仿宋" w:eastAsia="仿宋"/>
          <w:color w:val="auto"/>
          <w:sz w:val="32"/>
          <w:szCs w:val="32"/>
          <w:lang w:val="en-US" w:eastAsia="zh-CN"/>
        </w:rPr>
        <w:t>229.35</w:t>
      </w:r>
      <w:r>
        <w:rPr>
          <w:rFonts w:ascii="仿宋" w:hAnsi="仿宋" w:eastAsia="仿宋"/>
          <w:color w:val="auto"/>
          <w:sz w:val="32"/>
          <w:szCs w:val="32"/>
        </w:rPr>
        <w:t>%</w:t>
      </w:r>
      <w:r>
        <w:rPr>
          <w:rFonts w:hint="eastAsia" w:ascii="仿宋" w:hAnsi="仿宋" w:eastAsia="仿宋"/>
          <w:color w:val="auto"/>
          <w:sz w:val="32"/>
          <w:szCs w:val="32"/>
        </w:rPr>
        <w:t>。主要变动原因是主管部门集中收入</w:t>
      </w:r>
      <w:r>
        <w:rPr>
          <w:rFonts w:hint="eastAsia" w:ascii="仿宋" w:hAnsi="仿宋" w:eastAsia="仿宋"/>
          <w:color w:val="auto"/>
          <w:sz w:val="32"/>
          <w:szCs w:val="32"/>
          <w:lang w:val="en-US" w:eastAsia="zh-CN"/>
        </w:rPr>
        <w:t>增加2563.7</w:t>
      </w:r>
      <w:r>
        <w:rPr>
          <w:rFonts w:hint="eastAsia" w:ascii="仿宋" w:hAnsi="仿宋" w:eastAsia="仿宋"/>
          <w:color w:val="auto"/>
          <w:sz w:val="32"/>
          <w:szCs w:val="32"/>
        </w:rPr>
        <w:t>万</w:t>
      </w:r>
      <w:r>
        <w:rPr>
          <w:rFonts w:hint="eastAsia" w:ascii="仿宋" w:hAnsi="仿宋" w:eastAsia="仿宋"/>
          <w:color w:val="auto"/>
          <w:sz w:val="32"/>
          <w:szCs w:val="32"/>
          <w:lang w:val="en-US" w:eastAsia="zh-CN"/>
        </w:rPr>
        <w:t>元</w:t>
      </w:r>
      <w:r>
        <w:rPr>
          <w:rFonts w:hint="eastAsia" w:ascii="仿宋" w:hAnsi="仿宋" w:eastAsia="仿宋"/>
          <w:color w:val="auto"/>
          <w:sz w:val="32"/>
          <w:szCs w:val="32"/>
        </w:rPr>
        <w:t>；2020年中追加防汛资金2895万元，2019年无此拨款；基建资金拨款</w:t>
      </w:r>
      <w:r>
        <w:rPr>
          <w:rFonts w:hint="eastAsia" w:ascii="仿宋" w:hAnsi="仿宋" w:eastAsia="仿宋"/>
          <w:color w:val="auto"/>
          <w:sz w:val="32"/>
          <w:szCs w:val="32"/>
          <w:lang w:val="en-US" w:eastAsia="zh-CN"/>
        </w:rPr>
        <w:t>增加547.84</w:t>
      </w:r>
      <w:r>
        <w:rPr>
          <w:rFonts w:hint="eastAsia" w:ascii="仿宋" w:hAnsi="仿宋" w:eastAsia="仿宋"/>
          <w:color w:val="auto"/>
          <w:sz w:val="32"/>
          <w:szCs w:val="32"/>
        </w:rPr>
        <w:t>万元。</w:t>
      </w:r>
    </w:p>
    <w:p>
      <w:pPr>
        <w:spacing w:line="600" w:lineRule="exact"/>
        <w:rPr>
          <w:rFonts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pStyle w:val="6"/>
        <w:rPr>
          <w:rFonts w:hint="eastAsia" w:eastAsia="仿宋"/>
          <w:color w:val="auto"/>
          <w:lang w:eastAsia="zh-CN"/>
        </w:rPr>
      </w:pPr>
      <w:r>
        <w:rPr>
          <w:rFonts w:hint="eastAsia" w:eastAsia="仿宋"/>
          <w:color w:val="auto"/>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6"/>
        <w:jc w:val="center"/>
        <w:rPr>
          <w:rFonts w:hint="eastAsia" w:eastAsia="仿宋"/>
          <w:color w:val="auto"/>
          <w:lang w:eastAsia="zh-CN"/>
        </w:rPr>
      </w:pPr>
      <w:r>
        <w:rPr>
          <w:rFonts w:hint="eastAsia" w:ascii="仿宋" w:hAnsi="仿宋" w:eastAsia="仿宋"/>
          <w:color w:val="auto"/>
          <w:sz w:val="32"/>
          <w:szCs w:val="32"/>
        </w:rPr>
        <w:t>（图4：财政拨款收、支决算总计变动情况）</w:t>
      </w:r>
    </w:p>
    <w:p>
      <w:pPr>
        <w:spacing w:line="600" w:lineRule="exact"/>
        <w:ind w:firstLine="640"/>
        <w:rPr>
          <w:rFonts w:ascii="仿宋" w:hAnsi="仿宋" w:eastAsia="仿宋"/>
          <w:b/>
          <w:color w:val="auto"/>
          <w:sz w:val="32"/>
          <w:szCs w:val="32"/>
        </w:rPr>
      </w:pPr>
    </w:p>
    <w:p>
      <w:pPr>
        <w:spacing w:line="600" w:lineRule="exact"/>
        <w:ind w:firstLine="640" w:firstLineChars="200"/>
        <w:outlineLvl w:val="1"/>
        <w:rPr>
          <w:rStyle w:val="27"/>
          <w:rFonts w:ascii="黑体" w:hAnsi="黑体" w:eastAsia="黑体"/>
          <w:b w:val="0"/>
          <w:color w:val="auto"/>
        </w:rPr>
      </w:pPr>
      <w:bookmarkStart w:id="26" w:name="_Toc15396607"/>
      <w:bookmarkStart w:id="27" w:name="_Toc15377209"/>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7"/>
          <w:rFonts w:hint="eastAsia" w:ascii="黑体" w:hAnsi="黑体" w:eastAsia="黑体"/>
          <w:b w:val="0"/>
          <w:color w:val="auto"/>
        </w:rPr>
        <w:t>般公共预算财政拨款支出决算情况说明</w:t>
      </w:r>
      <w:bookmarkEnd w:id="26"/>
      <w:bookmarkEnd w:id="27"/>
    </w:p>
    <w:p>
      <w:pPr>
        <w:spacing w:line="600" w:lineRule="exact"/>
        <w:ind w:firstLine="640" w:firstLineChars="200"/>
        <w:outlineLvl w:val="2"/>
        <w:rPr>
          <w:rFonts w:hint="eastAsia" w:ascii="楷体" w:hAnsi="楷体" w:eastAsia="楷体" w:cs="楷体"/>
          <w:b w:val="0"/>
          <w:bCs/>
          <w:color w:val="auto"/>
          <w:sz w:val="32"/>
          <w:szCs w:val="32"/>
        </w:rPr>
      </w:pPr>
      <w:bookmarkStart w:id="28" w:name="_Toc15377210"/>
      <w:r>
        <w:rPr>
          <w:rFonts w:hint="eastAsia" w:ascii="楷体" w:hAnsi="楷体" w:eastAsia="楷体" w:cs="楷体"/>
          <w:b w:val="0"/>
          <w:bCs/>
          <w:color w:val="auto"/>
          <w:sz w:val="32"/>
          <w:szCs w:val="32"/>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年一般公共预算财政拨款支出8608.24万元，占本年支出合计的</w:t>
      </w:r>
      <w:r>
        <w:rPr>
          <w:rFonts w:hint="eastAsia" w:ascii="仿宋" w:hAnsi="仿宋" w:eastAsia="仿宋"/>
          <w:color w:val="auto"/>
          <w:sz w:val="32"/>
          <w:szCs w:val="32"/>
          <w:lang w:val="en-US" w:eastAsia="zh-CN"/>
        </w:rPr>
        <w:t>98</w:t>
      </w:r>
      <w:r>
        <w:rPr>
          <w:rFonts w:ascii="仿宋" w:hAnsi="仿宋" w:eastAsia="仿宋"/>
          <w:color w:val="auto"/>
          <w:sz w:val="32"/>
          <w:szCs w:val="32"/>
        </w:rPr>
        <w:t>%</w:t>
      </w:r>
      <w:r>
        <w:rPr>
          <w:rFonts w:hint="eastAsia" w:ascii="仿宋" w:hAnsi="仿宋" w:eastAsia="仿宋"/>
          <w:color w:val="auto"/>
          <w:sz w:val="32"/>
          <w:szCs w:val="32"/>
        </w:rPr>
        <w:t>。与</w:t>
      </w:r>
      <w:r>
        <w:rPr>
          <w:rFonts w:ascii="仿宋" w:hAnsi="仿宋" w:eastAsia="仿宋"/>
          <w:color w:val="auto"/>
          <w:sz w:val="32"/>
          <w:szCs w:val="32"/>
        </w:rPr>
        <w:t>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年相比，一般公共预算财政拨款增加5994.54万元，增长</w:t>
      </w:r>
      <w:r>
        <w:rPr>
          <w:rFonts w:hint="eastAsia" w:ascii="仿宋" w:hAnsi="仿宋" w:eastAsia="仿宋"/>
          <w:color w:val="auto"/>
          <w:sz w:val="32"/>
          <w:szCs w:val="32"/>
          <w:lang w:val="en-US" w:eastAsia="zh-CN"/>
        </w:rPr>
        <w:t>229.35</w:t>
      </w:r>
      <w:r>
        <w:rPr>
          <w:rFonts w:ascii="仿宋" w:hAnsi="仿宋" w:eastAsia="仿宋"/>
          <w:color w:val="auto"/>
          <w:sz w:val="32"/>
          <w:szCs w:val="32"/>
        </w:rPr>
        <w:t>%</w:t>
      </w:r>
      <w:r>
        <w:rPr>
          <w:rFonts w:hint="eastAsia" w:ascii="仿宋" w:hAnsi="仿宋" w:eastAsia="仿宋"/>
          <w:color w:val="auto"/>
          <w:sz w:val="32"/>
          <w:szCs w:val="32"/>
        </w:rPr>
        <w:t>。主要变动原因是主管部门集中收入</w:t>
      </w:r>
      <w:r>
        <w:rPr>
          <w:rFonts w:hint="eastAsia" w:ascii="仿宋" w:hAnsi="仿宋" w:eastAsia="仿宋"/>
          <w:color w:val="auto"/>
          <w:sz w:val="32"/>
          <w:szCs w:val="32"/>
          <w:lang w:val="en-US" w:eastAsia="zh-CN"/>
        </w:rPr>
        <w:t>增加2563.7</w:t>
      </w:r>
      <w:r>
        <w:rPr>
          <w:rFonts w:hint="eastAsia" w:ascii="仿宋" w:hAnsi="仿宋" w:eastAsia="仿宋"/>
          <w:color w:val="auto"/>
          <w:sz w:val="32"/>
          <w:szCs w:val="32"/>
        </w:rPr>
        <w:t>万</w:t>
      </w:r>
      <w:r>
        <w:rPr>
          <w:rFonts w:hint="eastAsia" w:ascii="仿宋" w:hAnsi="仿宋" w:eastAsia="仿宋"/>
          <w:color w:val="auto"/>
          <w:sz w:val="32"/>
          <w:szCs w:val="32"/>
          <w:lang w:val="en-US" w:eastAsia="zh-CN"/>
        </w:rPr>
        <w:t>元</w:t>
      </w:r>
      <w:r>
        <w:rPr>
          <w:rFonts w:hint="eastAsia" w:ascii="仿宋" w:hAnsi="仿宋" w:eastAsia="仿宋"/>
          <w:color w:val="auto"/>
          <w:sz w:val="32"/>
          <w:szCs w:val="32"/>
        </w:rPr>
        <w:t>；2020年中追加防汛资金2895万元，2019年无此拨款；基建资金拨款</w:t>
      </w:r>
      <w:r>
        <w:rPr>
          <w:rFonts w:hint="eastAsia" w:ascii="仿宋" w:hAnsi="仿宋" w:eastAsia="仿宋"/>
          <w:color w:val="auto"/>
          <w:sz w:val="32"/>
          <w:szCs w:val="32"/>
          <w:lang w:val="en-US" w:eastAsia="zh-CN"/>
        </w:rPr>
        <w:t>增加547.84</w:t>
      </w:r>
      <w:r>
        <w:rPr>
          <w:rFonts w:hint="eastAsia" w:ascii="仿宋" w:hAnsi="仿宋" w:eastAsia="仿宋"/>
          <w:color w:val="auto"/>
          <w:sz w:val="32"/>
          <w:szCs w:val="32"/>
        </w:rPr>
        <w:t>万元。</w:t>
      </w:r>
    </w:p>
    <w:p>
      <w:pPr>
        <w:pStyle w:val="6"/>
        <w:rPr>
          <w:rFonts w:hint="eastAsia" w:ascii="仿宋" w:hAnsi="仿宋" w:eastAsia="仿宋"/>
          <w:color w:val="auto"/>
          <w:sz w:val="32"/>
          <w:szCs w:val="32"/>
        </w:rPr>
      </w:pPr>
    </w:p>
    <w:p>
      <w:pPr>
        <w:pStyle w:val="6"/>
        <w:rPr>
          <w:rFonts w:hint="eastAsia" w:ascii="仿宋" w:hAnsi="仿宋" w:eastAsia="仿宋"/>
          <w:color w:val="auto"/>
          <w:sz w:val="32"/>
          <w:szCs w:val="32"/>
          <w:lang w:eastAsia="zh-CN"/>
        </w:rPr>
      </w:pPr>
    </w:p>
    <w:p>
      <w:pPr>
        <w:pStyle w:val="6"/>
        <w:rPr>
          <w:rFonts w:hint="eastAsia" w:ascii="仿宋" w:hAnsi="仿宋" w:eastAsia="仿宋"/>
          <w:color w:val="auto"/>
          <w:sz w:val="32"/>
          <w:szCs w:val="32"/>
          <w:lang w:eastAsia="zh-CN"/>
        </w:rPr>
      </w:pPr>
      <w:r>
        <w:rPr>
          <w:rFonts w:hint="eastAsia" w:ascii="仿宋" w:hAnsi="仿宋" w:eastAsia="仿宋"/>
          <w:color w:val="auto"/>
          <w:sz w:val="32"/>
          <w:szCs w:val="32"/>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ascii="仿宋" w:hAnsi="仿宋" w:eastAsia="仿宋"/>
          <w:color w:val="auto"/>
          <w:sz w:val="32"/>
          <w:szCs w:val="32"/>
        </w:rPr>
      </w:pPr>
      <w:r>
        <w:rPr>
          <w:rFonts w:hint="eastAsia" w:ascii="仿宋" w:hAnsi="仿宋" w:eastAsia="仿宋"/>
          <w:color w:val="auto"/>
          <w:sz w:val="32"/>
          <w:szCs w:val="32"/>
        </w:rPr>
        <w:t>（图5：一般公共预算财政拨款支出决算变动情况</w:t>
      </w:r>
      <w:r>
        <w:rPr>
          <w:rFonts w:hint="eastAsia" w:ascii="仿宋" w:hAnsi="仿宋" w:eastAsia="仿宋"/>
          <w:color w:val="auto"/>
          <w:sz w:val="32"/>
          <w:szCs w:val="32"/>
          <w:lang w:val="en-US" w:eastAsia="zh-CN"/>
        </w:rPr>
        <w:t>表</w:t>
      </w:r>
      <w:r>
        <w:rPr>
          <w:rFonts w:hint="eastAsia" w:ascii="仿宋" w:hAnsi="仿宋" w:eastAsia="仿宋"/>
          <w:color w:val="auto"/>
          <w:sz w:val="32"/>
          <w:szCs w:val="32"/>
        </w:rPr>
        <w:t>）</w:t>
      </w:r>
    </w:p>
    <w:p>
      <w:pPr>
        <w:pStyle w:val="6"/>
        <w:rPr>
          <w:rFonts w:hint="eastAsia" w:ascii="仿宋" w:hAnsi="仿宋" w:eastAsia="仿宋"/>
          <w:color w:val="auto"/>
          <w:sz w:val="32"/>
          <w:szCs w:val="32"/>
          <w:lang w:eastAsia="zh-CN"/>
        </w:rPr>
      </w:pPr>
    </w:p>
    <w:p>
      <w:pPr>
        <w:spacing w:line="600" w:lineRule="exact"/>
        <w:ind w:firstLine="640" w:firstLineChars="200"/>
        <w:outlineLvl w:val="2"/>
        <w:rPr>
          <w:rFonts w:hint="eastAsia" w:ascii="楷体" w:hAnsi="楷体" w:eastAsia="楷体" w:cs="楷体"/>
          <w:b w:val="0"/>
          <w:bCs/>
          <w:color w:val="auto"/>
          <w:sz w:val="32"/>
          <w:szCs w:val="32"/>
        </w:rPr>
      </w:pPr>
      <w:bookmarkStart w:id="29" w:name="_Toc15377211"/>
      <w:r>
        <w:rPr>
          <w:rFonts w:hint="eastAsia" w:ascii="楷体" w:hAnsi="楷体" w:eastAsia="楷体" w:cs="楷体"/>
          <w:b w:val="0"/>
          <w:bCs/>
          <w:color w:val="auto"/>
          <w:sz w:val="32"/>
          <w:szCs w:val="32"/>
        </w:rPr>
        <w:t>（二）一般公共预算财政拨款支出决算结构情况</w:t>
      </w:r>
      <w:bookmarkEnd w:id="29"/>
    </w:p>
    <w:p>
      <w:pPr>
        <w:spacing w:line="600" w:lineRule="exact"/>
        <w:ind w:firstLine="640"/>
        <w:rPr>
          <w:rFonts w:hint="eastAsia" w:ascii="仿宋" w:hAnsi="仿宋" w:eastAsia="仿宋"/>
          <w:b/>
          <w:color w:val="auto"/>
          <w:sz w:val="32"/>
          <w:szCs w:val="32"/>
        </w:rPr>
      </w:pPr>
      <w:r>
        <w:rPr>
          <w:rFonts w:ascii="仿宋" w:hAnsi="仿宋" w:eastAsia="仿宋"/>
          <w:b w:val="0"/>
          <w:bCs w:val="0"/>
          <w:color w:val="auto"/>
          <w:sz w:val="32"/>
          <w:szCs w:val="32"/>
        </w:rPr>
        <w:t>20</w:t>
      </w:r>
      <w:r>
        <w:rPr>
          <w:rFonts w:hint="eastAsia" w:ascii="仿宋" w:hAnsi="仿宋" w:eastAsia="仿宋"/>
          <w:b w:val="0"/>
          <w:bCs w:val="0"/>
          <w:color w:val="auto"/>
          <w:sz w:val="32"/>
          <w:szCs w:val="32"/>
          <w:lang w:val="en-US" w:eastAsia="zh-CN"/>
        </w:rPr>
        <w:t>20</w:t>
      </w:r>
      <w:r>
        <w:rPr>
          <w:rFonts w:hint="eastAsia" w:ascii="仿宋" w:hAnsi="仿宋" w:eastAsia="仿宋"/>
          <w:b w:val="0"/>
          <w:bCs w:val="0"/>
          <w:color w:val="auto"/>
          <w:sz w:val="32"/>
          <w:szCs w:val="32"/>
        </w:rPr>
        <w:t>年一般公共预算财政拨款支出8608.24万元，主要用于以下方面</w:t>
      </w:r>
      <w:r>
        <w:rPr>
          <w:rFonts w:ascii="仿宋" w:hAnsi="仿宋" w:eastAsia="仿宋"/>
          <w:b w:val="0"/>
          <w:bCs w:val="0"/>
          <w:color w:val="auto"/>
          <w:sz w:val="32"/>
          <w:szCs w:val="32"/>
        </w:rPr>
        <w:t>:</w:t>
      </w:r>
      <w:r>
        <w:rPr>
          <w:rFonts w:hint="eastAsia" w:ascii="仿宋" w:hAnsi="仿宋" w:eastAsia="仿宋"/>
          <w:b w:val="0"/>
          <w:bCs w:val="0"/>
          <w:color w:val="auto"/>
          <w:sz w:val="32"/>
          <w:szCs w:val="32"/>
        </w:rPr>
        <w:t>教育支出（类）100万元，占1.16</w:t>
      </w:r>
      <w:r>
        <w:rPr>
          <w:rFonts w:ascii="仿宋" w:hAnsi="仿宋" w:eastAsia="仿宋"/>
          <w:b w:val="0"/>
          <w:bCs w:val="0"/>
          <w:color w:val="auto"/>
          <w:sz w:val="32"/>
          <w:szCs w:val="32"/>
        </w:rPr>
        <w:t>%</w:t>
      </w:r>
      <w:r>
        <w:rPr>
          <w:rFonts w:hint="eastAsia" w:ascii="仿宋" w:hAnsi="仿宋" w:eastAsia="仿宋"/>
          <w:b w:val="0"/>
          <w:bCs w:val="0"/>
          <w:color w:val="auto"/>
          <w:sz w:val="32"/>
          <w:szCs w:val="32"/>
        </w:rPr>
        <w:t>；社会保障和就业（类）支出459.65万元，占5.34</w:t>
      </w:r>
      <w:r>
        <w:rPr>
          <w:rFonts w:ascii="仿宋" w:hAnsi="仿宋" w:eastAsia="仿宋"/>
          <w:b w:val="0"/>
          <w:bCs w:val="0"/>
          <w:color w:val="auto"/>
          <w:sz w:val="32"/>
          <w:szCs w:val="32"/>
        </w:rPr>
        <w:t>%</w:t>
      </w:r>
      <w:r>
        <w:rPr>
          <w:rFonts w:hint="eastAsia" w:ascii="仿宋" w:hAnsi="仿宋" w:eastAsia="仿宋"/>
          <w:b w:val="0"/>
          <w:bCs w:val="0"/>
          <w:color w:val="auto"/>
          <w:sz w:val="32"/>
          <w:szCs w:val="32"/>
        </w:rPr>
        <w:t>；卫生健康支出116万元，占1.35</w:t>
      </w:r>
      <w:r>
        <w:rPr>
          <w:rFonts w:ascii="仿宋" w:hAnsi="仿宋" w:eastAsia="仿宋"/>
          <w:b w:val="0"/>
          <w:bCs w:val="0"/>
          <w:color w:val="auto"/>
          <w:sz w:val="32"/>
          <w:szCs w:val="32"/>
        </w:rPr>
        <w:t>%</w:t>
      </w:r>
      <w:r>
        <w:rPr>
          <w:rFonts w:hint="eastAsia" w:ascii="仿宋" w:hAnsi="仿宋" w:eastAsia="仿宋"/>
          <w:b w:val="0"/>
          <w:bCs w:val="0"/>
          <w:color w:val="auto"/>
          <w:sz w:val="32"/>
          <w:szCs w:val="32"/>
        </w:rPr>
        <w:t>；农林水支出7681.59万元，占89.24</w:t>
      </w:r>
      <w:r>
        <w:rPr>
          <w:rFonts w:ascii="仿宋" w:hAnsi="仿宋" w:eastAsia="仿宋"/>
          <w:b w:val="0"/>
          <w:bCs w:val="0"/>
          <w:color w:val="auto"/>
          <w:sz w:val="32"/>
          <w:szCs w:val="32"/>
        </w:rPr>
        <w:t>%</w:t>
      </w:r>
      <w:r>
        <w:rPr>
          <w:rFonts w:hint="eastAsia" w:ascii="仿宋" w:hAnsi="仿宋" w:eastAsia="仿宋"/>
          <w:b w:val="0"/>
          <w:bCs w:val="0"/>
          <w:color w:val="auto"/>
          <w:sz w:val="32"/>
          <w:szCs w:val="32"/>
        </w:rPr>
        <w:t>；住房保障支出251万元，占2.92</w:t>
      </w:r>
      <w:r>
        <w:rPr>
          <w:rFonts w:ascii="仿宋" w:hAnsi="仿宋" w:eastAsia="仿宋"/>
          <w:b w:val="0"/>
          <w:bCs w:val="0"/>
          <w:color w:val="auto"/>
          <w:sz w:val="32"/>
          <w:szCs w:val="32"/>
        </w:rPr>
        <w:t>%</w:t>
      </w:r>
      <w:r>
        <w:rPr>
          <w:rFonts w:hint="eastAsia" w:ascii="仿宋" w:hAnsi="仿宋" w:eastAsia="仿宋"/>
          <w:color w:val="auto"/>
          <w:sz w:val="32"/>
          <w:szCs w:val="32"/>
        </w:rPr>
        <w:t>。</w:t>
      </w:r>
    </w:p>
    <w:p>
      <w:pPr>
        <w:pStyle w:val="6"/>
        <w:rPr>
          <w:color w:val="auto"/>
        </w:rPr>
      </w:pPr>
    </w:p>
    <w:p>
      <w:pPr>
        <w:spacing w:line="600" w:lineRule="exact"/>
        <w:ind w:firstLine="640" w:firstLineChars="200"/>
        <w:rPr>
          <w:rFonts w:ascii="仿宋" w:hAnsi="仿宋" w:eastAsia="仿宋"/>
          <w:color w:val="auto"/>
          <w:sz w:val="32"/>
          <w:szCs w:val="32"/>
        </w:rPr>
      </w:pPr>
    </w:p>
    <w:p>
      <w:pPr>
        <w:pStyle w:val="6"/>
        <w:rPr>
          <w:rFonts w:hint="eastAsia" w:ascii="仿宋" w:hAnsi="仿宋" w:eastAsia="仿宋"/>
          <w:b/>
          <w:color w:val="auto"/>
          <w:sz w:val="32"/>
          <w:szCs w:val="32"/>
        </w:rPr>
      </w:pPr>
      <w:bookmarkStart w:id="30" w:name="_Toc15377212"/>
    </w:p>
    <w:p>
      <w:pPr>
        <w:pStyle w:val="6"/>
        <w:rPr>
          <w:rFonts w:hint="eastAsia" w:ascii="仿宋" w:hAnsi="仿宋" w:eastAsia="仿宋"/>
          <w:b/>
          <w:color w:val="auto"/>
          <w:sz w:val="32"/>
          <w:szCs w:val="32"/>
          <w:lang w:eastAsia="zh-CN"/>
        </w:rPr>
      </w:pPr>
      <w:r>
        <w:rPr>
          <w:rFonts w:hint="eastAsia" w:ascii="仿宋" w:hAnsi="仿宋" w:eastAsia="仿宋"/>
          <w:b/>
          <w:color w:val="auto"/>
          <w:sz w:val="32"/>
          <w:szCs w:val="32"/>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（图6：一般公共预算财政拨款支出决算结构）</w:t>
      </w:r>
    </w:p>
    <w:p>
      <w:pPr>
        <w:spacing w:line="600" w:lineRule="exact"/>
        <w:ind w:firstLine="643" w:firstLineChars="200"/>
        <w:jc w:val="center"/>
        <w:outlineLvl w:val="2"/>
        <w:rPr>
          <w:rFonts w:hint="eastAsia" w:ascii="仿宋" w:hAnsi="仿宋" w:eastAsia="仿宋"/>
          <w:b/>
          <w:color w:val="auto"/>
          <w:sz w:val="32"/>
          <w:szCs w:val="32"/>
        </w:rPr>
      </w:pPr>
    </w:p>
    <w:p>
      <w:pPr>
        <w:spacing w:line="600" w:lineRule="exact"/>
        <w:ind w:firstLine="640" w:firstLineChars="200"/>
        <w:outlineLvl w:val="2"/>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（三）一般公共预算财政拨款支出决算具体情况</w:t>
      </w:r>
      <w:bookmarkEnd w:id="30"/>
    </w:p>
    <w:p>
      <w:pPr>
        <w:spacing w:line="600" w:lineRule="exact"/>
        <w:ind w:firstLine="640" w:firstLineChars="200"/>
        <w:outlineLvl w:val="2"/>
        <w:rPr>
          <w:rFonts w:ascii="仿宋" w:hAnsi="仿宋" w:eastAsia="仿宋"/>
          <w:b w:val="0"/>
          <w:bCs/>
          <w:color w:val="auto"/>
          <w:sz w:val="32"/>
          <w:szCs w:val="32"/>
        </w:rPr>
      </w:pPr>
      <w:bookmarkStart w:id="31" w:name="_Toc15377444"/>
      <w:bookmarkStart w:id="32" w:name="_Toc15378460"/>
      <w:bookmarkStart w:id="33" w:name="_Toc15377213"/>
      <w:r>
        <w:rPr>
          <w:rFonts w:hint="eastAsia" w:ascii="仿宋" w:hAnsi="仿宋" w:eastAsia="仿宋"/>
          <w:b w:val="0"/>
          <w:bCs/>
          <w:color w:val="auto"/>
          <w:sz w:val="32"/>
          <w:szCs w:val="32"/>
        </w:rPr>
        <w:t>20</w:t>
      </w:r>
      <w:r>
        <w:rPr>
          <w:rFonts w:hint="eastAsia" w:ascii="仿宋" w:hAnsi="仿宋" w:eastAsia="仿宋"/>
          <w:b w:val="0"/>
          <w:bCs/>
          <w:color w:val="auto"/>
          <w:sz w:val="32"/>
          <w:szCs w:val="32"/>
          <w:lang w:val="en-US" w:eastAsia="zh-CN"/>
        </w:rPr>
        <w:t>20</w:t>
      </w:r>
      <w:r>
        <w:rPr>
          <w:rFonts w:hint="eastAsia" w:ascii="仿宋" w:hAnsi="仿宋" w:eastAsia="仿宋"/>
          <w:b w:val="0"/>
          <w:bCs/>
          <w:color w:val="auto"/>
          <w:sz w:val="32"/>
          <w:szCs w:val="32"/>
        </w:rPr>
        <w:t>年</w:t>
      </w:r>
      <w:r>
        <w:rPr>
          <w:rFonts w:hint="eastAsia" w:ascii="仿宋" w:hAnsi="仿宋" w:eastAsia="仿宋"/>
          <w:b w:val="0"/>
          <w:bCs/>
          <w:color w:val="auto"/>
          <w:sz w:val="32"/>
          <w:szCs w:val="32"/>
          <w:lang w:eastAsia="zh-CN"/>
        </w:rPr>
        <w:t>一</w:t>
      </w:r>
      <w:r>
        <w:rPr>
          <w:rFonts w:hint="eastAsia" w:ascii="仿宋" w:hAnsi="仿宋" w:eastAsia="仿宋"/>
          <w:b w:val="0"/>
          <w:bCs/>
          <w:color w:val="auto"/>
          <w:sz w:val="32"/>
          <w:szCs w:val="32"/>
        </w:rPr>
        <w:t>般公共预算支出决算数为8608.24</w:t>
      </w:r>
      <w:r>
        <w:rPr>
          <w:rFonts w:hint="eastAsia" w:ascii="仿宋" w:hAnsi="仿宋" w:eastAsia="仿宋"/>
          <w:b w:val="0"/>
          <w:bCs/>
          <w:color w:val="auto"/>
          <w:sz w:val="32"/>
          <w:szCs w:val="32"/>
          <w:lang w:val="en-US" w:eastAsia="zh-CN"/>
        </w:rPr>
        <w:t>万元</w:t>
      </w:r>
      <w:r>
        <w:rPr>
          <w:rFonts w:hint="eastAsia" w:ascii="仿宋" w:hAnsi="仿宋" w:eastAsia="仿宋"/>
          <w:b w:val="0"/>
          <w:bCs/>
          <w:color w:val="auto"/>
          <w:sz w:val="32"/>
          <w:szCs w:val="32"/>
        </w:rPr>
        <w:t>，</w:t>
      </w:r>
      <w:r>
        <w:rPr>
          <w:rStyle w:val="16"/>
          <w:rFonts w:hint="eastAsia" w:ascii="仿宋" w:hAnsi="仿宋" w:eastAsia="仿宋"/>
          <w:b w:val="0"/>
          <w:bCs/>
          <w:color w:val="auto"/>
          <w:sz w:val="32"/>
          <w:szCs w:val="32"/>
        </w:rPr>
        <w:t>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。其中：</w:t>
      </w:r>
      <w:bookmarkEnd w:id="31"/>
      <w:bookmarkEnd w:id="32"/>
      <w:bookmarkEnd w:id="33"/>
    </w:p>
    <w:p>
      <w:pPr>
        <w:spacing w:line="600" w:lineRule="exact"/>
        <w:ind w:firstLine="640" w:firstLineChars="200"/>
        <w:rPr>
          <w:rFonts w:ascii="仿宋" w:hAnsi="仿宋" w:eastAsia="仿宋"/>
          <w:b w:val="0"/>
          <w:bCs/>
          <w:color w:val="auto"/>
          <w:sz w:val="32"/>
          <w:szCs w:val="32"/>
        </w:rPr>
      </w:pPr>
      <w:r>
        <w:rPr>
          <w:rStyle w:val="16"/>
          <w:rFonts w:hint="eastAsia" w:ascii="仿宋" w:hAnsi="仿宋" w:eastAsia="仿宋"/>
          <w:b w:val="0"/>
          <w:bCs/>
          <w:color w:val="auto"/>
          <w:sz w:val="32"/>
          <w:szCs w:val="32"/>
          <w:lang w:val="en-US" w:eastAsia="zh-CN"/>
        </w:rPr>
        <w:t>1</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教育（类）进修及培训（款）培训支出（项）</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支出决算为100万元，完成预算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，决算数等于预算数。</w:t>
      </w:r>
    </w:p>
    <w:p>
      <w:pPr>
        <w:spacing w:line="600" w:lineRule="exact"/>
        <w:ind w:firstLine="640" w:firstLineChars="200"/>
        <w:rPr>
          <w:rStyle w:val="16"/>
          <w:rFonts w:hint="eastAsia" w:ascii="仿宋" w:hAnsi="仿宋" w:eastAsia="仿宋"/>
          <w:b w:val="0"/>
          <w:bCs/>
          <w:color w:val="auto"/>
          <w:sz w:val="32"/>
          <w:szCs w:val="32"/>
        </w:rPr>
      </w:pPr>
      <w:r>
        <w:rPr>
          <w:rStyle w:val="16"/>
          <w:rFonts w:hint="eastAsia" w:ascii="仿宋" w:hAnsi="仿宋" w:eastAsia="仿宋"/>
          <w:b w:val="0"/>
          <w:bCs/>
          <w:color w:val="auto"/>
          <w:sz w:val="32"/>
          <w:szCs w:val="32"/>
          <w:lang w:val="en-US" w:eastAsia="zh-CN"/>
        </w:rPr>
        <w:t>2</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社会保障和就业（类）行政事业单位养老支出（款）事业单位离退休（项）</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支出决算为0.65万元，完成预算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，决算数等于预算数。</w:t>
      </w:r>
    </w:p>
    <w:p>
      <w:pPr>
        <w:spacing w:line="600" w:lineRule="exact"/>
        <w:ind w:firstLine="640" w:firstLineChars="200"/>
        <w:rPr>
          <w:rFonts w:ascii="仿宋" w:hAnsi="仿宋" w:eastAsia="仿宋"/>
          <w:b w:val="0"/>
          <w:bCs/>
          <w:color w:val="auto"/>
          <w:sz w:val="32"/>
          <w:szCs w:val="32"/>
        </w:rPr>
      </w:pPr>
      <w:r>
        <w:rPr>
          <w:rStyle w:val="16"/>
          <w:rFonts w:hint="eastAsia" w:ascii="仿宋" w:hAnsi="仿宋" w:eastAsia="仿宋"/>
          <w:b w:val="0"/>
          <w:bCs/>
          <w:color w:val="auto"/>
          <w:sz w:val="32"/>
          <w:szCs w:val="32"/>
          <w:lang w:val="en-US" w:eastAsia="zh-CN"/>
        </w:rPr>
        <w:t>3</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社会保障和就业（类）行政事业单位养老支出（款）机关事业单位基本养老保险缴费支出（项）</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支出决算为290万元，完成预算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，决算数等于预算数。</w:t>
      </w:r>
    </w:p>
    <w:p>
      <w:pPr>
        <w:spacing w:line="600" w:lineRule="exact"/>
        <w:ind w:firstLine="640" w:firstLineChars="200"/>
        <w:rPr>
          <w:rStyle w:val="16"/>
          <w:rFonts w:hint="eastAsia" w:ascii="仿宋" w:hAnsi="仿宋" w:eastAsia="仿宋"/>
          <w:b w:val="0"/>
          <w:bCs/>
          <w:color w:val="auto"/>
          <w:sz w:val="32"/>
          <w:szCs w:val="32"/>
        </w:rPr>
      </w:pPr>
      <w:r>
        <w:rPr>
          <w:rStyle w:val="16"/>
          <w:rFonts w:hint="eastAsia" w:ascii="仿宋" w:hAnsi="仿宋" w:eastAsia="仿宋"/>
          <w:b w:val="0"/>
          <w:bCs/>
          <w:color w:val="auto"/>
          <w:sz w:val="32"/>
          <w:szCs w:val="32"/>
          <w:lang w:val="en-US" w:eastAsia="zh-CN"/>
        </w:rPr>
        <w:t>4</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社会保障和就业（类）行政事业单位养老支出（款）机关事业单位职业年金缴费支出（项）</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支出决算为145万元，完成预算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，决算数等于预算数。</w:t>
      </w:r>
    </w:p>
    <w:p>
      <w:pPr>
        <w:spacing w:line="600" w:lineRule="exact"/>
        <w:ind w:firstLine="640" w:firstLineChars="200"/>
        <w:rPr>
          <w:rFonts w:ascii="仿宋" w:hAnsi="仿宋" w:eastAsia="仿宋"/>
          <w:b w:val="0"/>
          <w:bCs/>
          <w:color w:val="auto"/>
          <w:sz w:val="32"/>
          <w:szCs w:val="32"/>
        </w:rPr>
      </w:pPr>
      <w:r>
        <w:rPr>
          <w:rStyle w:val="16"/>
          <w:rFonts w:ascii="仿宋" w:hAnsi="仿宋" w:eastAsia="仿宋"/>
          <w:b w:val="0"/>
          <w:bCs/>
          <w:color w:val="auto"/>
          <w:sz w:val="32"/>
          <w:szCs w:val="32"/>
        </w:rPr>
        <w:t>5.</w:t>
      </w:r>
      <w:r>
        <w:rPr>
          <w:rStyle w:val="16"/>
          <w:rFonts w:hint="eastAsia" w:ascii="仿宋" w:hAnsi="仿宋" w:eastAsia="仿宋"/>
          <w:b w:val="0"/>
          <w:bCs/>
          <w:color w:val="auto"/>
          <w:sz w:val="32"/>
          <w:szCs w:val="32"/>
        </w:rPr>
        <w:t>社会保障和就业（类）其他社会保障和就业支出（款）其他社会保障和就业支出（项）</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支出决算为24万元，完成预算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，决算数等于预算数。</w:t>
      </w:r>
    </w:p>
    <w:p>
      <w:pPr>
        <w:spacing w:line="600" w:lineRule="exact"/>
        <w:ind w:firstLine="640" w:firstLineChars="200"/>
        <w:rPr>
          <w:rFonts w:ascii="仿宋" w:hAnsi="仿宋" w:eastAsia="仿宋"/>
          <w:b w:val="0"/>
          <w:bCs/>
          <w:color w:val="auto"/>
          <w:sz w:val="32"/>
          <w:szCs w:val="32"/>
        </w:rPr>
      </w:pPr>
      <w:r>
        <w:rPr>
          <w:rStyle w:val="16"/>
          <w:rFonts w:ascii="仿宋" w:hAnsi="仿宋" w:eastAsia="仿宋"/>
          <w:b w:val="0"/>
          <w:bCs/>
          <w:color w:val="auto"/>
          <w:sz w:val="32"/>
          <w:szCs w:val="32"/>
        </w:rPr>
        <w:t>6.</w:t>
      </w:r>
      <w:r>
        <w:rPr>
          <w:rFonts w:hint="eastAsia" w:ascii="仿宋" w:hAnsi="仿宋" w:eastAsia="仿宋"/>
          <w:b w:val="0"/>
          <w:bCs/>
          <w:color w:val="auto"/>
          <w:sz w:val="32"/>
          <w:szCs w:val="32"/>
        </w:rPr>
        <w:t>卫生健康</w:t>
      </w:r>
      <w:r>
        <w:rPr>
          <w:rStyle w:val="16"/>
          <w:rFonts w:hint="eastAsia" w:ascii="仿宋" w:hAnsi="仿宋" w:eastAsia="仿宋"/>
          <w:b w:val="0"/>
          <w:bCs/>
          <w:color w:val="auto"/>
          <w:sz w:val="32"/>
          <w:szCs w:val="32"/>
        </w:rPr>
        <w:t>（类）行政事业单位医疗（款）事业单位医疗（项）</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支出决算为116万元，完成预算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，决算数等于预算数。</w:t>
      </w:r>
    </w:p>
    <w:p>
      <w:pPr>
        <w:spacing w:line="600" w:lineRule="exact"/>
        <w:ind w:firstLine="640" w:firstLineChars="200"/>
        <w:rPr>
          <w:rStyle w:val="16"/>
          <w:rFonts w:hint="eastAsia" w:ascii="仿宋" w:hAnsi="仿宋" w:eastAsia="仿宋"/>
          <w:b w:val="0"/>
          <w:bCs/>
          <w:color w:val="auto"/>
          <w:sz w:val="32"/>
          <w:szCs w:val="32"/>
        </w:rPr>
      </w:pPr>
      <w:r>
        <w:rPr>
          <w:rStyle w:val="16"/>
          <w:rFonts w:hint="eastAsia" w:ascii="仿宋" w:hAnsi="仿宋" w:eastAsia="仿宋"/>
          <w:b w:val="0"/>
          <w:bCs/>
          <w:color w:val="auto"/>
          <w:sz w:val="32"/>
          <w:szCs w:val="32"/>
          <w:lang w:val="en-US" w:eastAsia="zh-CN"/>
        </w:rPr>
        <w:t>7</w:t>
      </w:r>
      <w:r>
        <w:rPr>
          <w:rStyle w:val="16"/>
          <w:rFonts w:ascii="仿宋" w:hAnsi="仿宋" w:eastAsia="仿宋"/>
          <w:b w:val="0"/>
          <w:bCs/>
          <w:color w:val="auto"/>
          <w:sz w:val="32"/>
          <w:szCs w:val="32"/>
        </w:rPr>
        <w:t>.</w:t>
      </w:r>
      <w:r>
        <w:rPr>
          <w:rFonts w:hint="eastAsia" w:ascii="仿宋" w:hAnsi="仿宋" w:eastAsia="仿宋"/>
          <w:b w:val="0"/>
          <w:bCs/>
          <w:color w:val="auto"/>
          <w:sz w:val="32"/>
          <w:szCs w:val="32"/>
        </w:rPr>
        <w:t>农林水支出</w:t>
      </w:r>
      <w:r>
        <w:rPr>
          <w:rStyle w:val="16"/>
          <w:rFonts w:hint="eastAsia" w:ascii="仿宋" w:hAnsi="仿宋" w:eastAsia="仿宋"/>
          <w:b w:val="0"/>
          <w:bCs/>
          <w:color w:val="auto"/>
          <w:sz w:val="32"/>
          <w:szCs w:val="32"/>
        </w:rPr>
        <w:t>（类）水利（款）水利工程建设（项）</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支出决算为1782.61万元，完成预算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，决算数等于预算数。</w:t>
      </w:r>
    </w:p>
    <w:p>
      <w:pPr>
        <w:spacing w:line="600" w:lineRule="exact"/>
        <w:ind w:firstLine="640" w:firstLineChars="200"/>
        <w:rPr>
          <w:rFonts w:ascii="仿宋" w:hAnsi="仿宋" w:eastAsia="仿宋"/>
          <w:b w:val="0"/>
          <w:bCs/>
          <w:color w:val="auto"/>
          <w:sz w:val="32"/>
          <w:szCs w:val="32"/>
        </w:rPr>
      </w:pPr>
      <w:r>
        <w:rPr>
          <w:rStyle w:val="16"/>
          <w:rFonts w:hint="eastAsia" w:ascii="仿宋" w:hAnsi="仿宋" w:eastAsia="仿宋"/>
          <w:b w:val="0"/>
          <w:bCs/>
          <w:color w:val="auto"/>
          <w:sz w:val="32"/>
          <w:szCs w:val="32"/>
          <w:lang w:val="en-US" w:eastAsia="zh-CN"/>
        </w:rPr>
        <w:t>8</w:t>
      </w:r>
      <w:r>
        <w:rPr>
          <w:rStyle w:val="16"/>
          <w:rFonts w:ascii="仿宋" w:hAnsi="仿宋" w:eastAsia="仿宋"/>
          <w:b w:val="0"/>
          <w:bCs/>
          <w:color w:val="auto"/>
          <w:sz w:val="32"/>
          <w:szCs w:val="32"/>
        </w:rPr>
        <w:t>.</w:t>
      </w:r>
      <w:r>
        <w:rPr>
          <w:rFonts w:hint="eastAsia" w:ascii="仿宋" w:hAnsi="仿宋" w:eastAsia="仿宋"/>
          <w:b w:val="0"/>
          <w:bCs/>
          <w:color w:val="auto"/>
          <w:sz w:val="32"/>
          <w:szCs w:val="32"/>
        </w:rPr>
        <w:t>农林水支出</w:t>
      </w:r>
      <w:r>
        <w:rPr>
          <w:rStyle w:val="16"/>
          <w:rFonts w:hint="eastAsia" w:ascii="仿宋" w:hAnsi="仿宋" w:eastAsia="仿宋"/>
          <w:b w:val="0"/>
          <w:bCs/>
          <w:color w:val="auto"/>
          <w:sz w:val="32"/>
          <w:szCs w:val="32"/>
        </w:rPr>
        <w:t>（类）水利（款）防汛（项）</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支出决算为2895万元，完成预算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，决算数等于预算数。</w:t>
      </w:r>
    </w:p>
    <w:p>
      <w:pPr>
        <w:spacing w:line="600" w:lineRule="exact"/>
        <w:ind w:firstLine="640" w:firstLineChars="200"/>
        <w:rPr>
          <w:rFonts w:ascii="仿宋" w:hAnsi="仿宋" w:eastAsia="仿宋"/>
          <w:b w:val="0"/>
          <w:bCs/>
          <w:color w:val="auto"/>
          <w:sz w:val="32"/>
          <w:szCs w:val="32"/>
        </w:rPr>
      </w:pPr>
      <w:r>
        <w:rPr>
          <w:rStyle w:val="16"/>
          <w:rFonts w:hint="eastAsia" w:ascii="仿宋" w:hAnsi="仿宋" w:eastAsia="仿宋"/>
          <w:b w:val="0"/>
          <w:bCs/>
          <w:color w:val="auto"/>
          <w:sz w:val="32"/>
          <w:szCs w:val="32"/>
          <w:lang w:val="en-US" w:eastAsia="zh-CN"/>
        </w:rPr>
        <w:t>9</w:t>
      </w:r>
      <w:r>
        <w:rPr>
          <w:rStyle w:val="16"/>
          <w:rFonts w:ascii="仿宋" w:hAnsi="仿宋" w:eastAsia="仿宋"/>
          <w:b w:val="0"/>
          <w:bCs/>
          <w:color w:val="auto"/>
          <w:sz w:val="32"/>
          <w:szCs w:val="32"/>
        </w:rPr>
        <w:t>.</w:t>
      </w:r>
      <w:r>
        <w:rPr>
          <w:rFonts w:hint="eastAsia" w:ascii="仿宋" w:hAnsi="仿宋" w:eastAsia="仿宋"/>
          <w:b w:val="0"/>
          <w:bCs/>
          <w:color w:val="auto"/>
          <w:sz w:val="32"/>
          <w:szCs w:val="32"/>
        </w:rPr>
        <w:t>农林水支出</w:t>
      </w:r>
      <w:r>
        <w:rPr>
          <w:rStyle w:val="16"/>
          <w:rFonts w:hint="eastAsia" w:ascii="仿宋" w:hAnsi="仿宋" w:eastAsia="仿宋"/>
          <w:b w:val="0"/>
          <w:bCs/>
          <w:color w:val="auto"/>
          <w:sz w:val="32"/>
          <w:szCs w:val="32"/>
        </w:rPr>
        <w:t>（类）水利（款）其他水利支出（项）</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支出决算为3003.98万元，完成预算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，决算数等于预算数。</w:t>
      </w:r>
    </w:p>
    <w:p>
      <w:pPr>
        <w:spacing w:line="600" w:lineRule="exact"/>
        <w:ind w:firstLine="640" w:firstLineChars="200"/>
        <w:rPr>
          <w:rFonts w:ascii="仿宋" w:hAnsi="仿宋" w:eastAsia="仿宋"/>
          <w:b/>
          <w:color w:val="auto"/>
          <w:sz w:val="32"/>
          <w:szCs w:val="32"/>
        </w:rPr>
      </w:pPr>
      <w:r>
        <w:rPr>
          <w:rStyle w:val="16"/>
          <w:rFonts w:hint="eastAsia" w:ascii="仿宋" w:hAnsi="仿宋" w:eastAsia="仿宋"/>
          <w:b w:val="0"/>
          <w:bCs/>
          <w:color w:val="auto"/>
          <w:sz w:val="32"/>
          <w:szCs w:val="32"/>
          <w:lang w:val="en-US" w:eastAsia="zh-CN"/>
        </w:rPr>
        <w:t>10</w:t>
      </w:r>
      <w:r>
        <w:rPr>
          <w:rStyle w:val="16"/>
          <w:rFonts w:ascii="仿宋" w:hAnsi="仿宋" w:eastAsia="仿宋"/>
          <w:b w:val="0"/>
          <w:bCs/>
          <w:color w:val="auto"/>
          <w:sz w:val="32"/>
          <w:szCs w:val="32"/>
        </w:rPr>
        <w:t>.</w:t>
      </w:r>
      <w:r>
        <w:rPr>
          <w:rFonts w:hint="eastAsia" w:ascii="仿宋" w:hAnsi="仿宋" w:eastAsia="仿宋"/>
          <w:b w:val="0"/>
          <w:bCs/>
          <w:color w:val="auto"/>
          <w:sz w:val="32"/>
          <w:szCs w:val="32"/>
        </w:rPr>
        <w:t>住房保障支出</w:t>
      </w:r>
      <w:r>
        <w:rPr>
          <w:rStyle w:val="16"/>
          <w:rFonts w:hint="eastAsia" w:ascii="仿宋" w:hAnsi="仿宋" w:eastAsia="仿宋"/>
          <w:b w:val="0"/>
          <w:bCs/>
          <w:color w:val="auto"/>
          <w:sz w:val="32"/>
          <w:szCs w:val="32"/>
        </w:rPr>
        <w:t>（类）住房改革支出（款）住房公积金（项）</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支出决算为251万元，完成预算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，决算数等于预算数。</w:t>
      </w:r>
    </w:p>
    <w:p>
      <w:pPr>
        <w:pStyle w:val="6"/>
        <w:rPr>
          <w:rFonts w:hint="default"/>
          <w:color w:val="auto"/>
          <w:lang w:val="en-US" w:eastAsia="zh-CN"/>
        </w:rPr>
      </w:pPr>
    </w:p>
    <w:p>
      <w:pPr>
        <w:spacing w:line="600" w:lineRule="exact"/>
        <w:ind w:firstLine="640"/>
        <w:rPr>
          <w:rFonts w:ascii="仿宋" w:hAnsi="仿宋" w:eastAsia="仿宋"/>
          <w:b/>
          <w:color w:val="auto"/>
          <w:sz w:val="32"/>
          <w:szCs w:val="32"/>
        </w:rPr>
      </w:pPr>
    </w:p>
    <w:p>
      <w:pPr>
        <w:tabs>
          <w:tab w:val="right" w:pos="8306"/>
        </w:tabs>
        <w:spacing w:line="600" w:lineRule="exact"/>
        <w:ind w:firstLine="640"/>
        <w:outlineLvl w:val="1"/>
        <w:rPr>
          <w:rStyle w:val="27"/>
          <w:color w:val="auto"/>
        </w:rPr>
      </w:pPr>
      <w:bookmarkStart w:id="34" w:name="_Toc15377214"/>
      <w:bookmarkStart w:id="35" w:name="_Toc15396608"/>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27"/>
          <w:rFonts w:hint="eastAsia" w:ascii="黑体" w:hAnsi="黑体" w:eastAsia="黑体"/>
          <w:b w:val="0"/>
          <w:color w:val="auto"/>
        </w:rPr>
        <w:t>般公共预算财政拨款基本支出决算情况说明</w:t>
      </w:r>
      <w:bookmarkEnd w:id="34"/>
      <w:bookmarkEnd w:id="35"/>
      <w:r>
        <w:rPr>
          <w:rStyle w:val="27"/>
          <w:rFonts w:ascii="黑体" w:hAnsi="黑体" w:eastAsia="黑体"/>
          <w:b w:val="0"/>
          <w:color w:val="auto"/>
        </w:rPr>
        <w:tab/>
      </w:r>
    </w:p>
    <w:p>
      <w:pPr>
        <w:spacing w:line="600" w:lineRule="exact"/>
        <w:ind w:firstLine="645"/>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年一般公共预算财政拨款基本支出3200.65万元，其中：</w:t>
      </w:r>
    </w:p>
    <w:p>
      <w:pPr>
        <w:spacing w:line="600" w:lineRule="exact"/>
        <w:ind w:firstLine="645"/>
        <w:rPr>
          <w:rFonts w:ascii="仿宋" w:hAnsi="仿宋" w:eastAsia="仿宋"/>
          <w:color w:val="auto"/>
          <w:sz w:val="32"/>
          <w:szCs w:val="32"/>
        </w:rPr>
      </w:pPr>
      <w:r>
        <w:rPr>
          <w:rFonts w:hint="eastAsia" w:ascii="仿宋" w:hAnsi="仿宋" w:eastAsia="仿宋"/>
          <w:color w:val="auto"/>
          <w:sz w:val="32"/>
          <w:szCs w:val="32"/>
        </w:rPr>
        <w:t>人员经费3033.15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rPr>
        <w:br w:type="textWrapping"/>
      </w:r>
      <w:r>
        <w:rPr>
          <w:rFonts w:hint="eastAsia" w:ascii="仿宋" w:hAnsi="仿宋" w:eastAsia="仿宋"/>
          <w:color w:val="auto"/>
          <w:sz w:val="32"/>
          <w:szCs w:val="32"/>
        </w:rPr>
        <w:t>　　公用经费167.5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7"/>
          <w:rFonts w:ascii="黑体" w:hAnsi="黑体" w:eastAsia="黑体"/>
          <w:b w:val="0"/>
          <w:color w:val="auto"/>
        </w:rPr>
      </w:pPr>
      <w:bookmarkStart w:id="36" w:name="_Toc15377215"/>
      <w:bookmarkStart w:id="37" w:name="_Toc15396609"/>
      <w:r>
        <w:rPr>
          <w:rFonts w:hint="eastAsia" w:ascii="黑体" w:eastAsia="黑体"/>
          <w:color w:val="auto"/>
          <w:sz w:val="32"/>
          <w:szCs w:val="32"/>
        </w:rPr>
        <w:t>七、</w:t>
      </w:r>
      <w:r>
        <w:rPr>
          <w:rStyle w:val="27"/>
          <w:rFonts w:hint="eastAsia" w:ascii="黑体" w:hAnsi="黑体" w:eastAsia="黑体"/>
          <w:color w:val="auto"/>
        </w:rPr>
        <w:t>“</w:t>
      </w:r>
      <w:r>
        <w:rPr>
          <w:rStyle w:val="27"/>
          <w:rFonts w:hint="eastAsia" w:ascii="黑体" w:hAnsi="黑体" w:eastAsia="黑体"/>
          <w:b w:val="0"/>
          <w:color w:val="auto"/>
        </w:rPr>
        <w:t>三公”经费财政拨款支出决算情况说明</w:t>
      </w:r>
      <w:bookmarkEnd w:id="36"/>
      <w:bookmarkEnd w:id="37"/>
    </w:p>
    <w:p>
      <w:pPr>
        <w:spacing w:line="600" w:lineRule="exact"/>
        <w:ind w:firstLine="640"/>
        <w:outlineLvl w:val="2"/>
        <w:rPr>
          <w:rFonts w:hint="eastAsia" w:ascii="楷体" w:hAnsi="楷体" w:eastAsia="楷体" w:cs="楷体"/>
          <w:b w:val="0"/>
          <w:bCs/>
          <w:color w:val="auto"/>
          <w:sz w:val="32"/>
          <w:szCs w:val="32"/>
        </w:rPr>
      </w:pPr>
      <w:bookmarkStart w:id="38" w:name="_Toc15377216"/>
      <w:r>
        <w:rPr>
          <w:rFonts w:hint="eastAsia" w:ascii="楷体" w:hAnsi="楷体" w:eastAsia="楷体" w:cs="楷体"/>
          <w:b w:val="0"/>
          <w:bCs/>
          <w:color w:val="auto"/>
          <w:sz w:val="32"/>
          <w:szCs w:val="32"/>
        </w:rPr>
        <w:t>（一）“三公”经费财政拨款支出决算总体情况说明</w:t>
      </w:r>
      <w:bookmarkEnd w:id="38"/>
    </w:p>
    <w:p>
      <w:pPr>
        <w:spacing w:line="600" w:lineRule="exact"/>
        <w:ind w:firstLine="640"/>
        <w:rPr>
          <w:rFonts w:ascii="仿宋" w:hAnsi="仿宋" w:eastAsia="仿宋"/>
          <w:b w:val="0"/>
          <w:bCs/>
          <w:color w:val="auto"/>
          <w:sz w:val="32"/>
          <w:szCs w:val="32"/>
        </w:rPr>
      </w:pPr>
      <w:r>
        <w:rPr>
          <w:rFonts w:ascii="仿宋" w:hAnsi="仿宋" w:eastAsia="仿宋"/>
          <w:b w:val="0"/>
          <w:bCs/>
          <w:color w:val="auto"/>
          <w:sz w:val="32"/>
          <w:szCs w:val="32"/>
        </w:rPr>
        <w:t>20</w:t>
      </w:r>
      <w:r>
        <w:rPr>
          <w:rFonts w:hint="eastAsia" w:ascii="仿宋" w:hAnsi="仿宋" w:eastAsia="仿宋"/>
          <w:b w:val="0"/>
          <w:bCs/>
          <w:color w:val="auto"/>
          <w:sz w:val="32"/>
          <w:szCs w:val="32"/>
          <w:lang w:val="en-US" w:eastAsia="zh-CN"/>
        </w:rPr>
        <w:t>20</w:t>
      </w:r>
      <w:r>
        <w:rPr>
          <w:rFonts w:hint="eastAsia" w:ascii="仿宋" w:hAnsi="仿宋" w:eastAsia="仿宋"/>
          <w:b w:val="0"/>
          <w:bCs/>
          <w:color w:val="auto"/>
          <w:sz w:val="32"/>
          <w:szCs w:val="32"/>
        </w:rPr>
        <w:t>年“三公”经费财政拨款支出决算为</w:t>
      </w:r>
      <w:r>
        <w:rPr>
          <w:rFonts w:hint="eastAsia" w:ascii="仿宋" w:hAnsi="仿宋" w:eastAsia="仿宋"/>
          <w:b w:val="0"/>
          <w:bCs/>
          <w:color w:val="auto"/>
          <w:sz w:val="32"/>
          <w:szCs w:val="32"/>
          <w:lang w:val="en-US" w:eastAsia="zh-CN"/>
        </w:rPr>
        <w:t>0</w:t>
      </w:r>
      <w:r>
        <w:rPr>
          <w:rFonts w:hint="eastAsia" w:ascii="仿宋" w:hAnsi="仿宋" w:eastAsia="仿宋"/>
          <w:b w:val="0"/>
          <w:bCs/>
          <w:color w:val="auto"/>
          <w:sz w:val="32"/>
          <w:szCs w:val="32"/>
        </w:rPr>
        <w:t>万元，完成预算</w:t>
      </w:r>
      <w:r>
        <w:rPr>
          <w:rFonts w:hint="eastAsia" w:ascii="仿宋" w:hAnsi="仿宋" w:eastAsia="仿宋"/>
          <w:b w:val="0"/>
          <w:bCs/>
          <w:color w:val="auto"/>
          <w:sz w:val="32"/>
          <w:szCs w:val="32"/>
          <w:lang w:val="en-US" w:eastAsia="zh-CN"/>
        </w:rPr>
        <w:t>100</w:t>
      </w:r>
      <w:r>
        <w:rPr>
          <w:rFonts w:ascii="仿宋" w:hAnsi="仿宋" w:eastAsia="仿宋"/>
          <w:b w:val="0"/>
          <w:bCs/>
          <w:color w:val="auto"/>
          <w:sz w:val="32"/>
          <w:szCs w:val="32"/>
        </w:rPr>
        <w:t>%</w:t>
      </w:r>
      <w:r>
        <w:rPr>
          <w:rFonts w:hint="eastAsia" w:ascii="仿宋" w:hAnsi="仿宋" w:eastAsia="仿宋"/>
          <w:b w:val="0"/>
          <w:bCs/>
          <w:color w:val="auto"/>
          <w:sz w:val="32"/>
          <w:szCs w:val="32"/>
        </w:rPr>
        <w:t>，</w:t>
      </w:r>
      <w:r>
        <w:rPr>
          <w:rStyle w:val="16"/>
          <w:rFonts w:hint="eastAsia" w:ascii="仿宋" w:hAnsi="仿宋" w:eastAsia="仿宋"/>
          <w:b w:val="0"/>
          <w:bCs/>
          <w:color w:val="auto"/>
          <w:sz w:val="32"/>
          <w:szCs w:val="32"/>
        </w:rPr>
        <w:t>决算数等于预算数</w:t>
      </w:r>
      <w:r>
        <w:rPr>
          <w:rFonts w:hint="eastAsia" w:ascii="仿宋" w:hAnsi="仿宋" w:eastAsia="仿宋"/>
          <w:b w:val="0"/>
          <w:bCs/>
          <w:color w:val="auto"/>
          <w:sz w:val="32"/>
          <w:szCs w:val="32"/>
        </w:rPr>
        <w:t>。</w:t>
      </w:r>
    </w:p>
    <w:p>
      <w:pPr>
        <w:spacing w:line="600" w:lineRule="exact"/>
        <w:ind w:firstLine="640"/>
        <w:outlineLvl w:val="2"/>
        <w:rPr>
          <w:rFonts w:hint="eastAsia" w:ascii="楷体" w:hAnsi="楷体" w:eastAsia="楷体" w:cs="楷体"/>
          <w:b w:val="0"/>
          <w:bCs/>
          <w:color w:val="auto"/>
          <w:sz w:val="32"/>
          <w:szCs w:val="32"/>
        </w:rPr>
      </w:pPr>
      <w:bookmarkStart w:id="39" w:name="_Toc15377217"/>
      <w:r>
        <w:rPr>
          <w:rFonts w:hint="eastAsia" w:ascii="楷体" w:hAnsi="楷体" w:eastAsia="楷体" w:cs="楷体"/>
          <w:b w:val="0"/>
          <w:bCs/>
          <w:color w:val="auto"/>
          <w:sz w:val="32"/>
          <w:szCs w:val="32"/>
        </w:rPr>
        <w:t>（二）“三公”经费财政拨款支出决算具体情况说明</w:t>
      </w:r>
      <w:bookmarkEnd w:id="39"/>
    </w:p>
    <w:p>
      <w:pPr>
        <w:spacing w:line="600" w:lineRule="exact"/>
        <w:ind w:firstLine="640" w:firstLineChars="200"/>
        <w:rPr>
          <w:rFonts w:hint="eastAsia" w:ascii="仿宋" w:hAnsi="仿宋" w:eastAsia="仿宋"/>
          <w:color w:val="auto"/>
          <w:sz w:val="32"/>
          <w:szCs w:val="32"/>
          <w:lang w:eastAsia="zh-CN"/>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年“三公”经费财政拨款支出决算中，因公出国（境）费支出决算</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auto"/>
          <w:sz w:val="32"/>
          <w:szCs w:val="32"/>
        </w:rPr>
        <w:t>公务用车购置及运行维护费支出决算</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万元，公务接待费支出决算</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p>
    <w:p>
      <w:pPr>
        <w:pStyle w:val="6"/>
        <w:rPr>
          <w:color w:val="auto"/>
        </w:rPr>
      </w:pPr>
    </w:p>
    <w:p>
      <w:pPr>
        <w:spacing w:line="600" w:lineRule="exact"/>
        <w:ind w:firstLine="640"/>
        <w:outlineLvl w:val="1"/>
        <w:rPr>
          <w:rStyle w:val="27"/>
          <w:rFonts w:ascii="黑体" w:hAnsi="黑体" w:eastAsia="黑体"/>
          <w:color w:val="auto"/>
        </w:rPr>
      </w:pPr>
      <w:bookmarkStart w:id="40" w:name="_Toc15377218"/>
      <w:bookmarkStart w:id="41" w:name="_Toc15396610"/>
      <w:r>
        <w:rPr>
          <w:rFonts w:hint="eastAsia" w:ascii="黑体" w:eastAsia="黑体"/>
          <w:color w:val="auto"/>
          <w:sz w:val="32"/>
          <w:szCs w:val="32"/>
        </w:rPr>
        <w:t>八、</w:t>
      </w:r>
      <w:r>
        <w:rPr>
          <w:rStyle w:val="27"/>
          <w:rFonts w:hint="eastAsia" w:ascii="黑体" w:hAnsi="黑体" w:eastAsia="黑体"/>
          <w:b w:val="0"/>
          <w:color w:val="auto"/>
        </w:rPr>
        <w:t>政府性基金预算支出决算情况说明</w:t>
      </w:r>
      <w:bookmarkEnd w:id="40"/>
      <w:bookmarkEnd w:id="41"/>
    </w:p>
    <w:p>
      <w:pPr>
        <w:spacing w:line="600" w:lineRule="exact"/>
        <w:ind w:firstLine="64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年政府性基金预算</w:t>
      </w:r>
      <w:r>
        <w:rPr>
          <w:rFonts w:hint="eastAsia" w:ascii="仿宋_GB2312" w:eastAsia="仿宋_GB2312"/>
          <w:color w:val="auto"/>
          <w:sz w:val="32"/>
          <w:szCs w:val="32"/>
          <w:lang w:eastAsia="zh-CN"/>
        </w:rPr>
        <w:t>财政</w:t>
      </w:r>
      <w:r>
        <w:rPr>
          <w:rFonts w:hint="eastAsia" w:ascii="仿宋_GB2312" w:eastAsia="仿宋_GB2312"/>
          <w:color w:val="auto"/>
          <w:sz w:val="32"/>
          <w:szCs w:val="32"/>
        </w:rPr>
        <w:t>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numPr>
          <w:ilvl w:val="0"/>
          <w:numId w:val="3"/>
        </w:numPr>
        <w:spacing w:line="600" w:lineRule="exact"/>
        <w:ind w:firstLine="640"/>
        <w:outlineLvl w:val="1"/>
        <w:rPr>
          <w:rStyle w:val="27"/>
          <w:rFonts w:ascii="黑体" w:hAnsi="黑体" w:eastAsia="黑体"/>
          <w:b w:val="0"/>
          <w:color w:val="auto"/>
        </w:rPr>
      </w:pPr>
      <w:bookmarkStart w:id="42" w:name="_Toc15396611"/>
      <w:bookmarkStart w:id="43" w:name="_Toc15377219"/>
      <w:r>
        <w:rPr>
          <w:rStyle w:val="27"/>
          <w:rFonts w:hint="eastAsia" w:ascii="黑体" w:hAnsi="黑体" w:eastAsia="黑体"/>
          <w:b w:val="0"/>
          <w:color w:val="auto"/>
        </w:rPr>
        <w:t>国有资本经营预算支出决算情况说明</w:t>
      </w:r>
      <w:bookmarkEnd w:id="42"/>
      <w:bookmarkEnd w:id="43"/>
    </w:p>
    <w:p>
      <w:pPr>
        <w:spacing w:line="600" w:lineRule="exact"/>
        <w:ind w:firstLine="64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年国有资本经营预算</w:t>
      </w:r>
      <w:r>
        <w:rPr>
          <w:rFonts w:hint="eastAsia" w:ascii="仿宋_GB2312" w:eastAsia="仿宋_GB2312"/>
          <w:color w:val="auto"/>
          <w:sz w:val="32"/>
          <w:szCs w:val="32"/>
          <w:lang w:eastAsia="zh-CN"/>
        </w:rPr>
        <w:t>财政</w:t>
      </w:r>
      <w:r>
        <w:rPr>
          <w:rFonts w:hint="eastAsia" w:ascii="仿宋_GB2312" w:eastAsia="仿宋_GB2312"/>
          <w:color w:val="auto"/>
          <w:sz w:val="32"/>
          <w:szCs w:val="32"/>
        </w:rPr>
        <w:t>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numPr>
          <w:ilvl w:val="0"/>
          <w:numId w:val="3"/>
        </w:numPr>
        <w:spacing w:line="600" w:lineRule="exact"/>
        <w:ind w:firstLine="640"/>
        <w:outlineLvl w:val="1"/>
        <w:rPr>
          <w:rStyle w:val="27"/>
          <w:rFonts w:hint="eastAsia" w:ascii="黑体" w:hAnsi="黑体" w:eastAsia="黑体"/>
          <w:b w:val="0"/>
          <w:color w:val="auto"/>
        </w:rPr>
      </w:pPr>
      <w:bookmarkStart w:id="44" w:name="_Toc15396612"/>
      <w:bookmarkStart w:id="45" w:name="_Toc15377221"/>
      <w:r>
        <w:rPr>
          <w:rStyle w:val="27"/>
          <w:rFonts w:hint="eastAsia" w:ascii="黑体" w:hAnsi="黑体" w:eastAsia="黑体"/>
          <w:b w:val="0"/>
          <w:color w:val="auto"/>
        </w:rPr>
        <w:t>其他重要事项的情况说明</w:t>
      </w:r>
      <w:bookmarkEnd w:id="44"/>
      <w:bookmarkEnd w:id="45"/>
    </w:p>
    <w:p>
      <w:pPr>
        <w:spacing w:line="600" w:lineRule="exact"/>
        <w:ind w:firstLine="640" w:firstLineChars="200"/>
        <w:outlineLvl w:val="2"/>
        <w:rPr>
          <w:rFonts w:hint="eastAsia" w:ascii="楷体" w:hAnsi="楷体" w:eastAsia="楷体" w:cs="楷体"/>
          <w:b w:val="0"/>
          <w:bCs/>
          <w:color w:val="auto"/>
          <w:sz w:val="32"/>
          <w:szCs w:val="32"/>
        </w:rPr>
      </w:pPr>
      <w:bookmarkStart w:id="46" w:name="_Toc15377222"/>
      <w:r>
        <w:rPr>
          <w:rFonts w:hint="eastAsia" w:ascii="楷体" w:hAnsi="楷体" w:eastAsia="楷体" w:cs="楷体"/>
          <w:b w:val="0"/>
          <w:bCs/>
          <w:color w:val="auto"/>
          <w:sz w:val="32"/>
          <w:szCs w:val="32"/>
        </w:rPr>
        <w:t>（一）机关运行经费支出情况</w:t>
      </w:r>
      <w:bookmarkEnd w:id="46"/>
    </w:p>
    <w:p>
      <w:pPr>
        <w:spacing w:line="600" w:lineRule="exact"/>
        <w:ind w:firstLine="640" w:firstLineChars="200"/>
        <w:rPr>
          <w:rFonts w:hint="default" w:ascii="仿宋_GB2312" w:eastAsia="仿宋_GB2312"/>
          <w:color w:val="auto"/>
          <w:sz w:val="32"/>
          <w:szCs w:val="32"/>
          <w:lang w:val="en-US" w:eastAsia="zh-CN"/>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年，机关运行经费</w:t>
      </w:r>
      <w:r>
        <w:rPr>
          <w:rFonts w:hint="eastAsia" w:ascii="仿宋_GB2312" w:eastAsia="仿宋_GB2312"/>
          <w:color w:val="auto"/>
          <w:sz w:val="32"/>
          <w:szCs w:val="32"/>
          <w:lang w:val="en-US" w:eastAsia="zh-CN"/>
        </w:rPr>
        <w:t>支出0万元。</w:t>
      </w:r>
    </w:p>
    <w:p>
      <w:pPr>
        <w:spacing w:line="600" w:lineRule="exact"/>
        <w:ind w:firstLine="640" w:firstLineChars="200"/>
        <w:outlineLvl w:val="2"/>
        <w:rPr>
          <w:rFonts w:hint="eastAsia" w:ascii="楷体" w:hAnsi="楷体" w:eastAsia="楷体" w:cs="楷体"/>
          <w:b w:val="0"/>
          <w:bCs/>
          <w:color w:val="auto"/>
          <w:sz w:val="32"/>
          <w:szCs w:val="32"/>
        </w:rPr>
      </w:pPr>
      <w:bookmarkStart w:id="47" w:name="_Toc15377223"/>
      <w:r>
        <w:rPr>
          <w:rFonts w:hint="eastAsia" w:ascii="楷体" w:hAnsi="楷体" w:eastAsia="楷体" w:cs="楷体"/>
          <w:b w:val="0"/>
          <w:bCs/>
          <w:color w:val="auto"/>
          <w:sz w:val="32"/>
          <w:szCs w:val="32"/>
        </w:rPr>
        <w:t>（二）政府采购支出情况</w:t>
      </w:r>
      <w:bookmarkEnd w:id="47"/>
    </w:p>
    <w:p>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年，政府采购支出总额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spacing w:line="600" w:lineRule="exact"/>
        <w:ind w:firstLine="640" w:firstLineChars="200"/>
        <w:outlineLvl w:val="2"/>
        <w:rPr>
          <w:rFonts w:hint="eastAsia" w:ascii="楷体" w:hAnsi="楷体" w:eastAsia="楷体" w:cs="楷体"/>
          <w:b w:val="0"/>
          <w:bCs/>
          <w:color w:val="auto"/>
          <w:sz w:val="32"/>
          <w:szCs w:val="32"/>
        </w:rPr>
      </w:pPr>
      <w:bookmarkStart w:id="48" w:name="_Toc15377224"/>
      <w:r>
        <w:rPr>
          <w:rFonts w:hint="eastAsia" w:ascii="楷体" w:hAnsi="楷体" w:eastAsia="楷体" w:cs="楷体"/>
          <w:b w:val="0"/>
          <w:bCs/>
          <w:color w:val="auto"/>
          <w:sz w:val="32"/>
          <w:szCs w:val="32"/>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截至</w:t>
      </w: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日，共有车辆</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辆，其中：其他用车</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辆</w:t>
      </w:r>
      <w:r>
        <w:rPr>
          <w:rFonts w:hint="eastAsia" w:ascii="仿宋_GB2312" w:eastAsia="仿宋_GB2312"/>
          <w:color w:val="auto"/>
          <w:sz w:val="32"/>
          <w:szCs w:val="32"/>
          <w:lang w:eastAsia="zh-CN"/>
        </w:rPr>
        <w:t>，</w:t>
      </w:r>
      <w:r>
        <w:rPr>
          <w:rFonts w:hint="eastAsia" w:ascii="仿宋_GB2312" w:eastAsia="仿宋_GB2312"/>
          <w:color w:val="auto"/>
          <w:sz w:val="32"/>
          <w:szCs w:val="32"/>
        </w:rPr>
        <w:t>其他用车主要是用于</w:t>
      </w:r>
      <w:r>
        <w:rPr>
          <w:rFonts w:hint="eastAsia" w:ascii="仿宋_GB2312" w:eastAsia="仿宋_GB2312"/>
          <w:color w:val="auto"/>
          <w:sz w:val="32"/>
          <w:szCs w:val="32"/>
          <w:lang w:val="en-US" w:eastAsia="zh-CN"/>
        </w:rPr>
        <w:t>水利业务用车。</w:t>
      </w:r>
      <w:r>
        <w:rPr>
          <w:rFonts w:hint="eastAsia" w:ascii="仿宋_GB2312" w:eastAsia="仿宋_GB2312"/>
          <w:color w:val="auto"/>
          <w:sz w:val="32"/>
          <w:szCs w:val="32"/>
        </w:rPr>
        <w:t>单价</w:t>
      </w:r>
      <w:r>
        <w:rPr>
          <w:rFonts w:ascii="仿宋_GB2312" w:eastAsia="仿宋_GB2312"/>
          <w:color w:val="auto"/>
          <w:sz w:val="32"/>
          <w:szCs w:val="32"/>
        </w:rPr>
        <w:t>50</w:t>
      </w:r>
      <w:r>
        <w:rPr>
          <w:rFonts w:hint="eastAsia" w:ascii="仿宋_GB2312" w:eastAsia="仿宋_GB2312"/>
          <w:color w:val="auto"/>
          <w:sz w:val="32"/>
          <w:szCs w:val="32"/>
        </w:rPr>
        <w:t>万元以上通用设备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台（套），单价</w:t>
      </w:r>
      <w:r>
        <w:rPr>
          <w:rFonts w:ascii="仿宋_GB2312" w:eastAsia="仿宋_GB2312"/>
          <w:color w:val="auto"/>
          <w:sz w:val="32"/>
          <w:szCs w:val="32"/>
        </w:rPr>
        <w:t>100</w:t>
      </w:r>
      <w:r>
        <w:rPr>
          <w:rFonts w:hint="eastAsia" w:ascii="仿宋_GB2312" w:eastAsia="仿宋_GB2312"/>
          <w:color w:val="auto"/>
          <w:sz w:val="32"/>
          <w:szCs w:val="32"/>
        </w:rPr>
        <w:t>万元以上专用设备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w:t>
      </w:r>
    </w:p>
    <w:p>
      <w:pPr>
        <w:spacing w:line="600" w:lineRule="exact"/>
        <w:ind w:firstLine="640" w:firstLineChars="200"/>
        <w:outlineLvl w:val="2"/>
        <w:rPr>
          <w:rFonts w:hint="eastAsia" w:ascii="楷体" w:hAnsi="楷体" w:eastAsia="楷体" w:cs="楷体"/>
          <w:b w:val="0"/>
          <w:bCs/>
          <w:color w:val="auto"/>
          <w:sz w:val="32"/>
          <w:szCs w:val="32"/>
        </w:rPr>
      </w:pPr>
      <w:bookmarkStart w:id="49" w:name="_Toc15396613"/>
      <w:bookmarkStart w:id="50" w:name="_Toc15377225"/>
      <w:r>
        <w:rPr>
          <w:rFonts w:hint="eastAsia" w:ascii="楷体" w:hAnsi="楷体" w:eastAsia="楷体" w:cs="楷体"/>
          <w:b w:val="0"/>
          <w:bCs/>
          <w:color w:val="auto"/>
          <w:sz w:val="32"/>
          <w:szCs w:val="32"/>
        </w:rPr>
        <w:t>（四）预算绩效管理情况</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根据预算绩效管理要求，本单位在2020年度预算编制阶段，组织对四川省都江堰人民渠第二管理处灌溉试验站</w:t>
      </w:r>
      <w:r>
        <w:rPr>
          <w:rFonts w:hint="eastAsia" w:ascii="仿宋_GB2312" w:hAnsi="仿宋_GB2312" w:eastAsia="仿宋_GB2312" w:cs="仿宋_GB2312"/>
          <w:color w:val="auto"/>
          <w:sz w:val="32"/>
          <w:szCs w:val="32"/>
          <w:lang w:eastAsia="zh-CN"/>
        </w:rPr>
        <w:t>、2018年暴雨洪灾水利灾后恢复重建、2020年暴雨洪灾水毁工程</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个项目开展绩效监控，年终执行完毕后，对</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个项目开展了绩效目标完成情况自评。</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按要求对2020年整体支出开展绩效自评，从评价情况来看我处部门绩效目标制定要素比较完整，绩效指标细化量化，项目资金的预算编制依据工程情况、按照工程概预算编制情况进行测算，并经上级主管部门概算批复。支出按照上级批复的概算内容，并经处审批程序进行支付。预算执行进度及完成情况良好。</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还自行组织了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个项目支出绩效评价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评价情况来看：一是预算编制科学合理。2020年，按照水利厅、都管局及人民渠二处的工作安排，试验站项目积极应对新冠疫情和“8·17”洪水灾害，抢抓“十三五”水利发展有利时机，以列入全国灌溉试验站网重点站为契机，全力实施“西南领先、全国一流”灌溉试验站建设，严格执行水利厅预算规定，从目标制定、目标实现、预算编制准确度等方面，科学合理编制了2020年试验站项目预算。二是预算执行有力。按照水利厅部署，严格执行</w:t>
      </w:r>
      <w:r>
        <w:rPr>
          <w:rFonts w:eastAsia="仿宋_GB2312"/>
          <w:color w:val="auto"/>
          <w:sz w:val="32"/>
          <w:szCs w:val="32"/>
        </w:rPr>
        <w:t>《四川省水利厅预算绩效运行监控管理办法》，对试验站项目</w:t>
      </w:r>
      <w:r>
        <w:rPr>
          <w:rFonts w:hint="eastAsia" w:eastAsia="仿宋_GB2312"/>
          <w:color w:val="auto"/>
          <w:sz w:val="32"/>
          <w:szCs w:val="32"/>
        </w:rPr>
        <w:t>进度、预算执行、投入产出等完成情况进行动态监控。2020年上半年，受疫情影响，项目设备多从武汉大学采购受阻，而设备标段和土建标段深度交叉，导致项目整体进度满，预算执行总体进度不足30%。下半年，克服洪水灾害和国内零星疫情爆发影响，全面查找项目建设进度推进着力点加快建设，疏通项目预算执行阻梗段畅通执行，截止2020年12月，试验站项目预算总体提高至92.78%。</w:t>
      </w:r>
    </w:p>
    <w:p>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1.项目绩效目标完成情况</w:t>
      </w:r>
    </w:p>
    <w:p>
      <w:pPr>
        <w:spacing w:line="580" w:lineRule="exact"/>
        <w:ind w:firstLine="640" w:firstLineChars="200"/>
        <w:rPr>
          <w:rFonts w:ascii="仿宋_GB2312" w:hAnsi="仿宋_GB2312" w:eastAsia="仿宋_GB2312" w:cs="仿宋_GB2312"/>
          <w:color w:val="auto"/>
          <w:sz w:val="32"/>
          <w:szCs w:val="32"/>
        </w:rPr>
      </w:pPr>
      <w:r>
        <w:rPr>
          <w:rFonts w:hint="eastAsia" w:ascii="仿宋" w:hAnsi="仿宋" w:eastAsia="仿宋" w:cs="仿宋"/>
          <w:color w:val="auto"/>
          <w:sz w:val="32"/>
          <w:szCs w:val="32"/>
        </w:rPr>
        <w:t>（1）灌溉试验站项目绩效目标完成情况</w:t>
      </w:r>
      <w:r>
        <w:rPr>
          <w:rFonts w:hint="eastAsia" w:ascii="楷体_GB2312" w:hAnsi="楷体_GB2312" w:eastAsia="楷体_GB2312" w:cs="楷体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eastAsia="仿宋_GB2312"/>
          <w:color w:val="auto"/>
          <w:sz w:val="32"/>
          <w:szCs w:val="32"/>
        </w:rPr>
        <w:t>试验站项目绩效目标完成情况综述。项目全年预算数1921.23万元，执行数为1782.61万元，完成预算的92.78%。通过项目实施，保障了试验站年度建设目标的实施。发现的主要问题：设备标设备采购进度较慢。下一步改进措施：加快协调设备采购；建立土建标和设备标施工作业协调机制，提升标段间施工转换效率。</w:t>
      </w: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auto"/>
                <w:sz w:val="36"/>
                <w:szCs w:val="36"/>
              </w:rPr>
            </w:pPr>
            <w:r>
              <w:rPr>
                <w:rFonts w:hint="eastAsia" w:ascii="宋体" w:hAnsi="宋体" w:cs="宋体"/>
                <w:b/>
                <w:bCs/>
                <w:color w:val="auto"/>
                <w:kern w:val="0"/>
                <w:sz w:val="36"/>
                <w:szCs w:val="36"/>
                <w:lang w:bidi="ar"/>
              </w:rPr>
              <w:t>项目绩效目标完成情况表</w:t>
            </w:r>
            <w:r>
              <w:rPr>
                <w:rFonts w:hint="eastAsia" w:ascii="宋体" w:hAnsi="宋体" w:cs="宋体"/>
                <w:b/>
                <w:bCs/>
                <w:color w:val="auto"/>
                <w:kern w:val="0"/>
                <w:sz w:val="36"/>
                <w:szCs w:val="36"/>
                <w:lang w:bidi="ar"/>
              </w:rPr>
              <w:br w:type="textWrapping"/>
            </w:r>
            <w:r>
              <w:rPr>
                <w:rFonts w:hint="eastAsia" w:ascii="宋体" w:hAnsi="宋体" w:cs="宋体"/>
                <w:color w:val="auto"/>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四川省都江堰人民渠第二管理处灌溉试验站</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四川省都江堰人民渠第二管理处</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1921.23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1782.61</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1921.23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1782.61</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18"/>
                <w:szCs w:val="1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完成综合管理处房屋主体建设；</w:t>
            </w:r>
          </w:p>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完成试验区格田建设；</w:t>
            </w:r>
          </w:p>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完成旱作、水稻、桶栽测坑基础开挖</w:t>
            </w:r>
          </w:p>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完成试验区主道路路基开挖；</w:t>
            </w:r>
          </w:p>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完成水环境综合试区场地清理；</w:t>
            </w:r>
          </w:p>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设备进场率达到80%；</w:t>
            </w:r>
          </w:p>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完成格田进水管网建设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完成了综合管理处房屋主体建设，并开始外墙装饰工程；</w:t>
            </w:r>
          </w:p>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完成了80%试验区格田建设任务；</w:t>
            </w:r>
          </w:p>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完成了3个测坑基础开挖，并完成旱作和水稻测定底板浇筑；</w:t>
            </w:r>
          </w:p>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完成了试验区主路路基开挖和水环境综合试区场地清理；</w:t>
            </w:r>
          </w:p>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完成了50%设备到场率；</w:t>
            </w:r>
          </w:p>
          <w:p>
            <w:pPr>
              <w:widowControl/>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完成了45%格田进水管网建设</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灌溉试验站项目建设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完成试验站建设任务80%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完成试验站建设任务75%</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年度工程质量合格率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工程建成后达到100%验收合格要求</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达到100%验收合格要求</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项目完成时间节点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12月底完成年度项目建设任务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12月底完成年度项目建设任务93.75%</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资金支付进度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按项目进度于2021年12月25日前支付年度预算资金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成预算的92.78%</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为国民经济持续健康发展和社会稳定提供安全保障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发生工程设计标准内洪水不受严重影响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达到年度指标要求</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保障工程安全度汛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发生工程设计标准内洪水不受严重影响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达到年度指标要求</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为灌区粮经作物结构优化及水资源配置提供数据参考与科学依据，为灌区环境友好型农业发展提供技术保障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发生工程设计标准内洪水不受严重影响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达到年度指标要求</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促进地区生态和谐发展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发生工程设计标准内洪水不受严重影响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达到年度指标要求</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上级主管部门满意度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≥90%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达到91%以上</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灌区群众满意度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≥90%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达到91%以上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达到92%以上</w:t>
            </w:r>
          </w:p>
        </w:tc>
      </w:tr>
    </w:tbl>
    <w:p>
      <w:pPr>
        <w:spacing w:line="580" w:lineRule="exact"/>
        <w:ind w:left="630"/>
        <w:rPr>
          <w:rFonts w:ascii="仿宋_GB2312" w:hAnsi="仿宋_GB2312" w:eastAsia="仿宋_GB2312" w:cs="仿宋_GB2312"/>
          <w:color w:val="auto"/>
          <w:sz w:val="32"/>
          <w:szCs w:val="32"/>
        </w:rPr>
      </w:pPr>
    </w:p>
    <w:p>
      <w:pPr>
        <w:pStyle w:val="6"/>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）2018年暴雨洪灾水利灾后恢复重建项目绩效目标完成情况</w:t>
      </w:r>
    </w:p>
    <w:p>
      <w:pPr>
        <w:pStyle w:val="6"/>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该项目全年预算数2595万元，执行数为2595万元，完成预算的100%。通过项目实施，</w:t>
      </w:r>
      <w:r>
        <w:rPr>
          <w:rFonts w:hint="default" w:ascii="Times New Roman" w:hAnsi="Times New Roman" w:eastAsia="仿宋_GB2312" w:cs="Times New Roman"/>
          <w:color w:val="auto"/>
          <w:kern w:val="2"/>
          <w:sz w:val="32"/>
          <w:szCs w:val="32"/>
          <w:lang w:val="en-US" w:eastAsia="zh-CN" w:bidi="ar-SA"/>
        </w:rPr>
        <w:t>新增供水能力</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恢复灌溉面积</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新增粮食综合生产能力</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保护耕地面积</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新增年节水能力</w:t>
      </w:r>
      <w:r>
        <w:rPr>
          <w:rFonts w:hint="eastAsia" w:ascii="Times New Roman" w:hAnsi="Times New Roman" w:eastAsia="仿宋_GB2312" w:cs="Times New Roman"/>
          <w:color w:val="auto"/>
          <w:kern w:val="2"/>
          <w:sz w:val="32"/>
          <w:szCs w:val="32"/>
          <w:lang w:val="en-US" w:eastAsia="zh-CN" w:bidi="ar-SA"/>
        </w:rPr>
        <w:t>指标均达到2020年省级水利发展资金绩效目标情况表的全部指标。</w:t>
      </w:r>
      <w:r>
        <w:rPr>
          <w:rFonts w:hint="default" w:ascii="仿宋_GB2312" w:hAnsi="宋体" w:eastAsia="仿宋_GB2312" w:cs="Times New Roman"/>
          <w:color w:val="auto"/>
          <w:kern w:val="2"/>
          <w:sz w:val="32"/>
          <w:szCs w:val="32"/>
          <w:lang w:val="en-US" w:eastAsia="zh-CN" w:bidi="ar-SA"/>
        </w:rPr>
        <w:t>截至</w:t>
      </w:r>
      <w:r>
        <w:rPr>
          <w:rFonts w:hint="eastAsia" w:ascii="仿宋_GB2312" w:hAnsi="宋体" w:eastAsia="仿宋_GB2312" w:cs="Times New Roman"/>
          <w:color w:val="auto"/>
          <w:kern w:val="2"/>
          <w:sz w:val="32"/>
          <w:szCs w:val="32"/>
          <w:lang w:val="en-US" w:eastAsia="zh-CN" w:bidi="ar-SA"/>
        </w:rPr>
        <w:t>目前</w:t>
      </w:r>
      <w:r>
        <w:rPr>
          <w:rFonts w:hint="default" w:ascii="仿宋_GB2312" w:hAnsi="宋体" w:eastAsia="仿宋_GB2312" w:cs="Times New Roman"/>
          <w:color w:val="auto"/>
          <w:kern w:val="2"/>
          <w:sz w:val="32"/>
          <w:szCs w:val="32"/>
          <w:lang w:val="en-US" w:eastAsia="zh-CN" w:bidi="ar-SA"/>
        </w:rPr>
        <w:t>，</w:t>
      </w:r>
      <w:r>
        <w:rPr>
          <w:rFonts w:hint="eastAsia" w:ascii="仿宋_GB2312" w:hAnsi="宋体" w:eastAsia="仿宋_GB2312" w:cs="Times New Roman"/>
          <w:color w:val="auto"/>
          <w:kern w:val="2"/>
          <w:sz w:val="32"/>
          <w:szCs w:val="32"/>
          <w:lang w:val="en-US" w:eastAsia="zh-CN" w:bidi="ar-SA"/>
        </w:rPr>
        <w:t>发生</w:t>
      </w:r>
      <w:r>
        <w:rPr>
          <w:rFonts w:hint="default" w:ascii="仿宋_GB2312" w:hAnsi="宋体" w:eastAsia="仿宋_GB2312" w:cs="Times New Roman"/>
          <w:color w:val="auto"/>
          <w:kern w:val="2"/>
          <w:sz w:val="32"/>
          <w:szCs w:val="32"/>
          <w:lang w:val="en-US" w:eastAsia="zh-CN" w:bidi="ar-SA"/>
        </w:rPr>
        <w:t>工程设计标准内洪水</w:t>
      </w:r>
      <w:r>
        <w:rPr>
          <w:rFonts w:hint="eastAsia" w:ascii="仿宋_GB2312" w:hAnsi="宋体" w:eastAsia="仿宋_GB2312" w:cs="Times New Roman"/>
          <w:color w:val="auto"/>
          <w:kern w:val="2"/>
          <w:sz w:val="32"/>
          <w:szCs w:val="32"/>
          <w:lang w:val="en-US" w:eastAsia="zh-CN" w:bidi="ar-SA"/>
        </w:rPr>
        <w:t>未</w:t>
      </w:r>
      <w:r>
        <w:rPr>
          <w:rFonts w:hint="default" w:ascii="仿宋_GB2312" w:hAnsi="宋体" w:eastAsia="仿宋_GB2312" w:cs="Times New Roman"/>
          <w:color w:val="auto"/>
          <w:kern w:val="2"/>
          <w:sz w:val="32"/>
          <w:szCs w:val="32"/>
          <w:lang w:val="en-US" w:eastAsia="zh-CN" w:bidi="ar-SA"/>
        </w:rPr>
        <w:t>受严重影</w:t>
      </w:r>
      <w:r>
        <w:rPr>
          <w:rFonts w:hint="eastAsia" w:ascii="仿宋_GB2312" w:hAnsi="宋体" w:eastAsia="仿宋_GB2312" w:cs="Times New Roman"/>
          <w:color w:val="auto"/>
          <w:kern w:val="2"/>
          <w:sz w:val="32"/>
          <w:szCs w:val="32"/>
          <w:lang w:val="en-US" w:eastAsia="zh-CN" w:bidi="ar-SA"/>
        </w:rPr>
        <w:t>响，</w:t>
      </w:r>
      <w:r>
        <w:rPr>
          <w:rFonts w:hint="default" w:ascii="仿宋_GB2312" w:hAnsi="宋体" w:eastAsia="仿宋_GB2312" w:cs="Times New Roman"/>
          <w:color w:val="auto"/>
          <w:kern w:val="2"/>
          <w:sz w:val="32"/>
          <w:szCs w:val="32"/>
          <w:lang w:val="en-US" w:eastAsia="zh-CN" w:bidi="ar-SA"/>
        </w:rPr>
        <w:t>已建工程</w:t>
      </w:r>
      <w:r>
        <w:rPr>
          <w:rFonts w:hint="eastAsia" w:ascii="仿宋_GB2312" w:hAnsi="宋体" w:eastAsia="仿宋_GB2312" w:cs="Times New Roman"/>
          <w:color w:val="auto"/>
          <w:kern w:val="2"/>
          <w:sz w:val="32"/>
          <w:szCs w:val="32"/>
          <w:lang w:val="en-US" w:eastAsia="zh-CN" w:bidi="ar-SA"/>
        </w:rPr>
        <w:t>目前</w:t>
      </w:r>
      <w:r>
        <w:rPr>
          <w:rFonts w:hint="default" w:ascii="仿宋_GB2312" w:hAnsi="宋体" w:eastAsia="仿宋_GB2312" w:cs="Times New Roman"/>
          <w:color w:val="auto"/>
          <w:kern w:val="2"/>
          <w:sz w:val="32"/>
          <w:szCs w:val="32"/>
          <w:lang w:val="en-US" w:eastAsia="zh-CN" w:bidi="ar-SA"/>
        </w:rPr>
        <w:t>良性运行。</w:t>
      </w: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2392"/>
        <w:gridCol w:w="2392"/>
        <w:gridCol w:w="2394"/>
        <w:gridCol w:w="2392"/>
      </w:tblGrid>
      <w:tr>
        <w:tblPrEx>
          <w:tblCellMar>
            <w:top w:w="0" w:type="dxa"/>
            <w:left w:w="0" w:type="dxa"/>
            <w:bottom w:w="0" w:type="dxa"/>
            <w:right w:w="0" w:type="dxa"/>
          </w:tblCellMar>
        </w:tblPrEx>
        <w:trPr>
          <w:trHeight w:val="1251" w:hRule="atLeast"/>
          <w:jc w:val="center"/>
        </w:trPr>
        <w:tc>
          <w:tcPr>
            <w:tcW w:w="9960" w:type="dxa"/>
            <w:gridSpan w:val="5"/>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auto"/>
                <w:sz w:val="36"/>
                <w:szCs w:val="36"/>
              </w:rPr>
            </w:pPr>
            <w:r>
              <w:rPr>
                <w:rFonts w:hint="eastAsia" w:ascii="宋体" w:hAnsi="宋体" w:cs="宋体"/>
                <w:b/>
                <w:bCs/>
                <w:color w:val="auto"/>
                <w:kern w:val="0"/>
                <w:sz w:val="36"/>
                <w:szCs w:val="36"/>
                <w:lang w:bidi="ar"/>
              </w:rPr>
              <w:t>项目绩效目标完成情况表</w:t>
            </w:r>
            <w:r>
              <w:rPr>
                <w:rFonts w:hint="eastAsia" w:ascii="宋体" w:hAnsi="宋体" w:cs="宋体"/>
                <w:b/>
                <w:bCs/>
                <w:color w:val="auto"/>
                <w:kern w:val="0"/>
                <w:sz w:val="36"/>
                <w:szCs w:val="36"/>
                <w:lang w:bidi="ar"/>
              </w:rPr>
              <w:br w:type="textWrapping"/>
            </w:r>
            <w:r>
              <w:rPr>
                <w:rFonts w:hint="eastAsia" w:ascii="宋体" w:hAnsi="宋体" w:cs="宋体"/>
                <w:color w:val="auto"/>
                <w:kern w:val="0"/>
                <w:sz w:val="36"/>
                <w:szCs w:val="36"/>
                <w:lang w:bidi="ar"/>
              </w:rPr>
              <w:t>(20</w:t>
            </w:r>
            <w:r>
              <w:rPr>
                <w:rFonts w:hint="eastAsia" w:ascii="宋体" w:hAnsi="宋体" w:cs="宋体"/>
                <w:color w:val="auto"/>
                <w:kern w:val="0"/>
                <w:sz w:val="36"/>
                <w:szCs w:val="36"/>
                <w:lang w:val="en-US" w:eastAsia="zh-CN" w:bidi="ar"/>
              </w:rPr>
              <w:t>20</w:t>
            </w:r>
            <w:r>
              <w:rPr>
                <w:rFonts w:hint="eastAsia" w:ascii="宋体" w:hAnsi="宋体" w:cs="宋体"/>
                <w:color w:val="auto"/>
                <w:kern w:val="0"/>
                <w:sz w:val="36"/>
                <w:szCs w:val="36"/>
                <w:lang w:bidi="ar"/>
              </w:rPr>
              <w:t>年度)</w:t>
            </w:r>
          </w:p>
        </w:tc>
      </w:tr>
      <w:tr>
        <w:tblPrEx>
          <w:tblCellMar>
            <w:top w:w="0" w:type="dxa"/>
            <w:left w:w="0" w:type="dxa"/>
            <w:bottom w:w="0" w:type="dxa"/>
            <w:right w:w="0" w:type="dxa"/>
          </w:tblCellMar>
        </w:tblPrEx>
        <w:trPr>
          <w:trHeight w:val="27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2"/>
                <w:sz w:val="18"/>
                <w:szCs w:val="18"/>
                <w:lang w:val="en-US" w:eastAsia="zh-CN" w:bidi="ar-SA"/>
              </w:rPr>
              <w:t>2018年暴雨洪灾水利灾后恢复重建项目</w:t>
            </w:r>
          </w:p>
        </w:tc>
      </w:tr>
      <w:tr>
        <w:tblPrEx>
          <w:tblCellMar>
            <w:top w:w="0" w:type="dxa"/>
            <w:left w:w="0" w:type="dxa"/>
            <w:bottom w:w="0" w:type="dxa"/>
            <w:right w:w="0" w:type="dxa"/>
          </w:tblCellMar>
        </w:tblPrEx>
        <w:trPr>
          <w:trHeight w:val="27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2"/>
                <w:sz w:val="18"/>
                <w:szCs w:val="18"/>
                <w:lang w:val="zh-CN" w:eastAsia="zh-CN" w:bidi="ar-SA"/>
              </w:rPr>
              <w:t>四川省都江堰人民渠第二管理处</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预算执行情况(万元)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2595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2595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2595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2595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w:t>
            </w:r>
          </w:p>
        </w:tc>
      </w:tr>
    </w:tbl>
    <w:p>
      <w:pPr>
        <w:rPr>
          <w:rFonts w:hint="eastAsia" w:ascii="宋体" w:hAnsi="宋体" w:eastAsia="宋体" w:cs="宋体"/>
          <w:color w:val="auto"/>
          <w:sz w:val="18"/>
          <w:szCs w:val="18"/>
        </w:rPr>
      </w:pPr>
    </w:p>
    <w:tbl>
      <w:tblPr>
        <w:tblStyle w:val="14"/>
        <w:tblpPr w:leftFromText="180" w:rightFromText="180" w:vertAnchor="text" w:horzAnchor="page" w:tblpX="1093" w:tblpY="13"/>
        <w:tblOverlap w:val="never"/>
        <w:tblW w:w="9919" w:type="dxa"/>
        <w:tblInd w:w="0" w:type="dxa"/>
        <w:tblLayout w:type="fixed"/>
        <w:tblCellMar>
          <w:top w:w="0" w:type="dxa"/>
          <w:left w:w="108" w:type="dxa"/>
          <w:bottom w:w="0" w:type="dxa"/>
          <w:right w:w="108" w:type="dxa"/>
        </w:tblCellMar>
      </w:tblPr>
      <w:tblGrid>
        <w:gridCol w:w="588"/>
        <w:gridCol w:w="980"/>
        <w:gridCol w:w="1271"/>
        <w:gridCol w:w="2196"/>
        <w:gridCol w:w="1812"/>
        <w:gridCol w:w="3072"/>
      </w:tblGrid>
      <w:tr>
        <w:tblPrEx>
          <w:tblCellMar>
            <w:top w:w="0" w:type="dxa"/>
            <w:left w:w="108" w:type="dxa"/>
            <w:bottom w:w="0" w:type="dxa"/>
            <w:right w:w="108" w:type="dxa"/>
          </w:tblCellMar>
        </w:tblPrEx>
        <w:trPr>
          <w:trHeight w:val="300" w:hRule="exact"/>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年度总体目标</w:t>
            </w:r>
          </w:p>
        </w:tc>
        <w:tc>
          <w:tcPr>
            <w:tcW w:w="6259"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预期目标</w:t>
            </w:r>
          </w:p>
        </w:tc>
        <w:tc>
          <w:tcPr>
            <w:tcW w:w="307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实际完成情况</w:t>
            </w:r>
          </w:p>
        </w:tc>
      </w:tr>
      <w:tr>
        <w:tblPrEx>
          <w:tblCellMar>
            <w:top w:w="0" w:type="dxa"/>
            <w:left w:w="108" w:type="dxa"/>
            <w:bottom w:w="0" w:type="dxa"/>
            <w:right w:w="108" w:type="dxa"/>
          </w:tblCellMar>
        </w:tblPrEx>
        <w:trPr>
          <w:trHeight w:val="1684" w:hRule="exact"/>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p>
        </w:tc>
        <w:tc>
          <w:tcPr>
            <w:tcW w:w="6259"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2"/>
                <w:sz w:val="18"/>
                <w:szCs w:val="18"/>
                <w:lang w:val="en-US" w:eastAsia="zh-CN" w:bidi="ar-SA"/>
              </w:rPr>
              <w:t>1、整治明渠改箱涵8处,整治明渠1处；2、整治节制闸2座；3、整治泄洪渠2处；4、整治防洪抢险道路9处。</w:t>
            </w:r>
          </w:p>
        </w:tc>
        <w:tc>
          <w:tcPr>
            <w:tcW w:w="307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2"/>
                <w:sz w:val="18"/>
                <w:szCs w:val="18"/>
                <w:lang w:val="en-US" w:eastAsia="zh-CN" w:bidi="ar-SA"/>
              </w:rPr>
              <w:t>1、整治明渠改箱涵8处,整治明渠1处；2、整治节制闸2座；3、整治泄洪渠2处；4、整治防洪抢险道路9处。</w:t>
            </w:r>
          </w:p>
        </w:tc>
      </w:tr>
      <w:tr>
        <w:tblPrEx>
          <w:tblCellMar>
            <w:top w:w="0" w:type="dxa"/>
            <w:left w:w="108" w:type="dxa"/>
            <w:bottom w:w="0" w:type="dxa"/>
            <w:right w:w="108" w:type="dxa"/>
          </w:tblCellMar>
        </w:tblPrEx>
        <w:trPr>
          <w:trHeight w:val="533" w:hRule="exact"/>
        </w:trPr>
        <w:tc>
          <w:tcPr>
            <w:tcW w:w="58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绩</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效</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指</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一级指标</w:t>
            </w:r>
          </w:p>
        </w:tc>
        <w:tc>
          <w:tcPr>
            <w:tcW w:w="127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二级指标</w:t>
            </w: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三级指标</w:t>
            </w:r>
          </w:p>
        </w:tc>
        <w:tc>
          <w:tcPr>
            <w:tcW w:w="181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lang w:bidi="ar"/>
              </w:rPr>
              <w:t>预期指标值(包含数字及文字描述)</w:t>
            </w:r>
          </w:p>
        </w:tc>
        <w:tc>
          <w:tcPr>
            <w:tcW w:w="307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lang w:bidi="ar"/>
              </w:rPr>
              <w:t>实际完成指标值(包含数字及文字描述)</w:t>
            </w:r>
          </w:p>
        </w:tc>
      </w:tr>
      <w:tr>
        <w:tblPrEx>
          <w:tblCellMar>
            <w:top w:w="0" w:type="dxa"/>
            <w:left w:w="108" w:type="dxa"/>
            <w:bottom w:w="0" w:type="dxa"/>
            <w:right w:w="108" w:type="dxa"/>
          </w:tblCellMar>
        </w:tblPrEx>
        <w:trPr>
          <w:trHeight w:val="1326" w:hRule="exac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数量指标</w:t>
            </w:r>
          </w:p>
        </w:tc>
        <w:tc>
          <w:tcPr>
            <w:tcW w:w="127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产出指标</w:t>
            </w: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整治修复水利工程</w:t>
            </w:r>
          </w:p>
        </w:tc>
        <w:tc>
          <w:tcPr>
            <w:tcW w:w="181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97处</w:t>
            </w:r>
          </w:p>
        </w:tc>
        <w:tc>
          <w:tcPr>
            <w:tcW w:w="307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22处</w:t>
            </w:r>
          </w:p>
        </w:tc>
      </w:tr>
      <w:tr>
        <w:tblPrEx>
          <w:tblCellMar>
            <w:top w:w="0" w:type="dxa"/>
            <w:left w:w="108" w:type="dxa"/>
            <w:bottom w:w="0" w:type="dxa"/>
            <w:right w:w="108" w:type="dxa"/>
          </w:tblCellMar>
        </w:tblPrEx>
        <w:trPr>
          <w:trHeight w:val="610" w:hRule="atLeas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p>
        </w:tc>
        <w:tc>
          <w:tcPr>
            <w:tcW w:w="1271" w:type="dxa"/>
            <w:vMerge w:val="restart"/>
            <w:tcBorders>
              <w:top w:val="nil"/>
              <w:left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质量指标</w:t>
            </w: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截止2020年底，完工项目初步验收率</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100%</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100%</w:t>
            </w:r>
          </w:p>
        </w:tc>
      </w:tr>
      <w:tr>
        <w:tblPrEx>
          <w:tblCellMar>
            <w:top w:w="0" w:type="dxa"/>
            <w:left w:w="108" w:type="dxa"/>
            <w:bottom w:w="0" w:type="dxa"/>
            <w:right w:w="108" w:type="dxa"/>
          </w:tblCellMar>
        </w:tblPrEx>
        <w:trPr>
          <w:trHeight w:val="810" w:hRule="atLeas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sz w:val="18"/>
                <w:szCs w:val="18"/>
              </w:rPr>
            </w:pPr>
          </w:p>
        </w:tc>
        <w:tc>
          <w:tcPr>
            <w:tcW w:w="1271" w:type="dxa"/>
            <w:vMerge w:val="continue"/>
            <w:tcBorders>
              <w:left w:val="single" w:color="auto" w:sz="4" w:space="0"/>
              <w:right w:val="single" w:color="auto" w:sz="4" w:space="0"/>
            </w:tcBorders>
            <w:vAlign w:val="center"/>
          </w:tcPr>
          <w:p>
            <w:pPr>
              <w:widowControl/>
              <w:spacing w:line="240" w:lineRule="exact"/>
              <w:jc w:val="left"/>
              <w:rPr>
                <w:rFonts w:hint="eastAsia" w:ascii="宋体" w:hAnsi="宋体" w:eastAsia="宋体" w:cs="宋体"/>
                <w:color w:val="auto"/>
                <w:sz w:val="18"/>
                <w:szCs w:val="18"/>
              </w:rPr>
            </w:pP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工程验收合格率</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100%</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rPr>
              <w:t>100%</w:t>
            </w:r>
          </w:p>
        </w:tc>
      </w:tr>
      <w:tr>
        <w:tblPrEx>
          <w:tblCellMar>
            <w:top w:w="0" w:type="dxa"/>
            <w:left w:w="108" w:type="dxa"/>
            <w:bottom w:w="0" w:type="dxa"/>
            <w:right w:w="108" w:type="dxa"/>
          </w:tblCellMar>
        </w:tblPrEx>
        <w:trPr>
          <w:trHeight w:val="624" w:hRule="atLeast"/>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rPr>
            </w:pPr>
          </w:p>
        </w:tc>
        <w:tc>
          <w:tcPr>
            <w:tcW w:w="1271"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rPr>
            </w:pP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已建工程是否存在质量问题</w:t>
            </w:r>
          </w:p>
        </w:tc>
        <w:tc>
          <w:tcPr>
            <w:tcW w:w="181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否</w:t>
            </w:r>
          </w:p>
        </w:tc>
        <w:tc>
          <w:tcPr>
            <w:tcW w:w="307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否</w:t>
            </w:r>
          </w:p>
        </w:tc>
      </w:tr>
      <w:tr>
        <w:tblPrEx>
          <w:tblCellMar>
            <w:top w:w="0" w:type="dxa"/>
            <w:left w:w="108" w:type="dxa"/>
            <w:bottom w:w="0" w:type="dxa"/>
            <w:right w:w="108" w:type="dxa"/>
          </w:tblCellMar>
        </w:tblPrEx>
        <w:trPr>
          <w:trHeight w:val="566" w:hRule="exac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p>
        </w:tc>
        <w:tc>
          <w:tcPr>
            <w:tcW w:w="127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时效指标</w:t>
            </w: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截止2020年底，投资完成比例</w:t>
            </w:r>
          </w:p>
        </w:tc>
        <w:tc>
          <w:tcPr>
            <w:tcW w:w="181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100%</w:t>
            </w:r>
          </w:p>
        </w:tc>
        <w:tc>
          <w:tcPr>
            <w:tcW w:w="307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100%</w:t>
            </w:r>
          </w:p>
        </w:tc>
      </w:tr>
      <w:tr>
        <w:tblPrEx>
          <w:tblCellMar>
            <w:top w:w="0" w:type="dxa"/>
            <w:left w:w="108" w:type="dxa"/>
            <w:bottom w:w="0" w:type="dxa"/>
            <w:right w:w="108" w:type="dxa"/>
          </w:tblCellMar>
        </w:tblPrEx>
        <w:trPr>
          <w:trHeight w:val="337" w:hRule="atLeas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p>
        </w:tc>
        <w:tc>
          <w:tcPr>
            <w:tcW w:w="980" w:type="dxa"/>
            <w:vMerge w:val="restart"/>
            <w:tcBorders>
              <w:top w:val="nil"/>
              <w:left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效益指标</w:t>
            </w:r>
          </w:p>
        </w:tc>
        <w:tc>
          <w:tcPr>
            <w:tcW w:w="1271"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经济效益指标</w:t>
            </w: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新增供水能力</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3628万立方米</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369" w:hRule="atLeas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left"/>
              <w:rPr>
                <w:rFonts w:hint="eastAsia" w:ascii="宋体" w:hAnsi="宋体" w:eastAsia="宋体" w:cs="宋体"/>
                <w:color w:val="auto"/>
                <w:sz w:val="18"/>
                <w:szCs w:val="18"/>
              </w:rPr>
            </w:pPr>
          </w:p>
        </w:tc>
        <w:tc>
          <w:tcPr>
            <w:tcW w:w="1271" w:type="dxa"/>
            <w:vMerge w:val="continue"/>
            <w:tcBorders>
              <w:left w:val="single" w:color="auto" w:sz="4" w:space="0"/>
              <w:right w:val="single" w:color="auto" w:sz="4" w:space="0"/>
            </w:tcBorders>
            <w:vAlign w:val="center"/>
          </w:tcPr>
          <w:p>
            <w:pPr>
              <w:widowControl/>
              <w:spacing w:line="240" w:lineRule="exact"/>
              <w:jc w:val="left"/>
              <w:rPr>
                <w:rFonts w:hint="eastAsia" w:ascii="宋体" w:hAnsi="宋体" w:eastAsia="宋体" w:cs="宋体"/>
                <w:color w:val="auto"/>
                <w:sz w:val="18"/>
                <w:szCs w:val="18"/>
              </w:rPr>
            </w:pP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恢复灌溉面积</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113.23万亩</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12.5万亩</w:t>
            </w:r>
          </w:p>
        </w:tc>
      </w:tr>
      <w:tr>
        <w:tblPrEx>
          <w:tblCellMar>
            <w:top w:w="0" w:type="dxa"/>
            <w:left w:w="108" w:type="dxa"/>
            <w:bottom w:w="0" w:type="dxa"/>
            <w:right w:w="108" w:type="dxa"/>
          </w:tblCellMar>
        </w:tblPrEx>
        <w:trPr>
          <w:trHeight w:val="337" w:hRule="atLeas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p>
        </w:tc>
        <w:tc>
          <w:tcPr>
            <w:tcW w:w="980" w:type="dxa"/>
            <w:vMerge w:val="continue"/>
            <w:tcBorders>
              <w:left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p>
        </w:tc>
        <w:tc>
          <w:tcPr>
            <w:tcW w:w="1271" w:type="dxa"/>
            <w:vMerge w:val="continue"/>
            <w:tcBorders>
              <w:left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新增粮食综合生产能力</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119.22万公斤</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16.71万公斤</w:t>
            </w:r>
          </w:p>
        </w:tc>
      </w:tr>
      <w:tr>
        <w:tblPrEx>
          <w:tblCellMar>
            <w:top w:w="0" w:type="dxa"/>
            <w:left w:w="108" w:type="dxa"/>
            <w:bottom w:w="0" w:type="dxa"/>
            <w:right w:w="108" w:type="dxa"/>
          </w:tblCellMar>
        </w:tblPrEx>
        <w:trPr>
          <w:trHeight w:val="337" w:hRule="atLeast"/>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p>
        </w:tc>
        <w:tc>
          <w:tcPr>
            <w:tcW w:w="980" w:type="dxa"/>
            <w:vMerge w:val="continue"/>
            <w:tcBorders>
              <w:left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p>
        </w:tc>
        <w:tc>
          <w:tcPr>
            <w:tcW w:w="1271"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保护耕地面积</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159.053万亩</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28.62万亩</w:t>
            </w:r>
          </w:p>
        </w:tc>
      </w:tr>
      <w:tr>
        <w:tblPrEx>
          <w:tblCellMar>
            <w:top w:w="0" w:type="dxa"/>
            <w:left w:w="108" w:type="dxa"/>
            <w:bottom w:w="0" w:type="dxa"/>
            <w:right w:w="108" w:type="dxa"/>
          </w:tblCellMar>
        </w:tblPrEx>
        <w:trPr>
          <w:trHeight w:val="911" w:hRule="atLeas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left"/>
              <w:rPr>
                <w:rFonts w:hint="eastAsia" w:ascii="宋体" w:hAnsi="宋体" w:eastAsia="宋体" w:cs="宋体"/>
                <w:color w:val="auto"/>
                <w:sz w:val="18"/>
                <w:szCs w:val="18"/>
              </w:rPr>
            </w:pPr>
          </w:p>
        </w:tc>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sz w:val="18"/>
                <w:szCs w:val="18"/>
              </w:rPr>
            </w:pPr>
            <w:r>
              <w:rPr>
                <w:rFonts w:hint="eastAsia" w:ascii="宋体" w:hAnsi="宋体" w:eastAsia="宋体" w:cs="宋体"/>
                <w:color w:val="auto"/>
                <w:kern w:val="0"/>
                <w:sz w:val="18"/>
                <w:szCs w:val="18"/>
                <w:highlight w:val="none"/>
                <w:lang w:val="en-US" w:eastAsia="zh-CN"/>
              </w:rPr>
              <w:t>社会效益指标</w:t>
            </w: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发生工程设计标准内洪水是否受严重影响</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否</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否</w:t>
            </w:r>
          </w:p>
        </w:tc>
      </w:tr>
      <w:tr>
        <w:tblPrEx>
          <w:tblCellMar>
            <w:top w:w="0" w:type="dxa"/>
            <w:left w:w="108" w:type="dxa"/>
            <w:bottom w:w="0" w:type="dxa"/>
            <w:right w:w="108" w:type="dxa"/>
          </w:tblCellMar>
        </w:tblPrEx>
        <w:trPr>
          <w:trHeight w:val="805" w:hRule="atLeas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rPr>
            </w:pPr>
          </w:p>
        </w:tc>
        <w:tc>
          <w:tcPr>
            <w:tcW w:w="980" w:type="dxa"/>
            <w:vMerge w:val="continue"/>
            <w:tcBorders>
              <w:left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rPr>
            </w:pPr>
          </w:p>
        </w:tc>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生态效益指标</w:t>
            </w: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新增年节水能力</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3400万立方米</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200万立方米</w:t>
            </w:r>
          </w:p>
        </w:tc>
      </w:tr>
      <w:tr>
        <w:tblPrEx>
          <w:tblCellMar>
            <w:top w:w="0" w:type="dxa"/>
            <w:left w:w="108" w:type="dxa"/>
            <w:bottom w:w="0" w:type="dxa"/>
            <w:right w:w="108" w:type="dxa"/>
          </w:tblCellMar>
        </w:tblPrEx>
        <w:trPr>
          <w:trHeight w:val="301" w:hRule="atLeast"/>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rPr>
            </w:pPr>
          </w:p>
        </w:tc>
        <w:tc>
          <w:tcPr>
            <w:tcW w:w="1271" w:type="dxa"/>
            <w:vMerge w:val="restart"/>
            <w:tcBorders>
              <w:top w:val="single" w:color="auto" w:sz="4" w:space="0"/>
              <w:left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可持续影响指标</w:t>
            </w: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已建工程是否良性运行</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是</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是</w:t>
            </w:r>
          </w:p>
        </w:tc>
      </w:tr>
      <w:tr>
        <w:tblPrEx>
          <w:tblCellMar>
            <w:top w:w="0" w:type="dxa"/>
            <w:left w:w="108" w:type="dxa"/>
            <w:bottom w:w="0" w:type="dxa"/>
            <w:right w:w="108" w:type="dxa"/>
          </w:tblCellMar>
        </w:tblPrEx>
        <w:trPr>
          <w:trHeight w:val="301" w:hRule="atLeast"/>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sz w:val="18"/>
                <w:szCs w:val="18"/>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sz w:val="18"/>
                <w:szCs w:val="18"/>
              </w:rPr>
            </w:pPr>
          </w:p>
        </w:tc>
        <w:tc>
          <w:tcPr>
            <w:tcW w:w="1271"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sz w:val="18"/>
                <w:szCs w:val="18"/>
              </w:rPr>
            </w:pP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工程是否达到设计年限</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是</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是</w:t>
            </w:r>
          </w:p>
        </w:tc>
      </w:tr>
      <w:tr>
        <w:tblPrEx>
          <w:tblCellMar>
            <w:top w:w="0" w:type="dxa"/>
            <w:left w:w="108" w:type="dxa"/>
            <w:bottom w:w="0" w:type="dxa"/>
            <w:right w:w="108" w:type="dxa"/>
          </w:tblCellMar>
        </w:tblPrEx>
        <w:trPr>
          <w:trHeight w:val="358" w:hRule="atLeas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满意度</w:t>
            </w:r>
          </w:p>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指标</w:t>
            </w:r>
          </w:p>
        </w:tc>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服务对象满意度指标</w:t>
            </w: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受益群众满意度</w:t>
            </w:r>
          </w:p>
        </w:tc>
        <w:tc>
          <w:tcPr>
            <w:tcW w:w="181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≥90%</w:t>
            </w:r>
          </w:p>
        </w:tc>
        <w:tc>
          <w:tcPr>
            <w:tcW w:w="307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≥90%</w:t>
            </w:r>
          </w:p>
        </w:tc>
      </w:tr>
    </w:tbl>
    <w:p>
      <w:pPr>
        <w:tabs>
          <w:tab w:val="left" w:pos="1879"/>
        </w:tabs>
        <w:bidi w:val="0"/>
        <w:jc w:val="left"/>
        <w:rPr>
          <w:color w:val="auto"/>
          <w:lang w:val="en-US" w:eastAsia="zh-CN"/>
        </w:rPr>
      </w:pPr>
    </w:p>
    <w:p>
      <w:pPr>
        <w:pStyle w:val="6"/>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）2020年暴雨洪灾水毁工程项目绩效目标完成情况</w:t>
      </w:r>
    </w:p>
    <w:p>
      <w:pPr>
        <w:pStyle w:val="6"/>
        <w:ind w:firstLine="640" w:firstLineChars="200"/>
        <w:rPr>
          <w:rFonts w:hint="eastAsia" w:ascii="仿宋_GB2312" w:hAnsi="宋体"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该项目全年预算数</w:t>
      </w:r>
      <w:r>
        <w:rPr>
          <w:rFonts w:hint="eastAsia" w:ascii="Times New Roman" w:cs="Times New Roman"/>
          <w:color w:val="auto"/>
          <w:kern w:val="2"/>
          <w:sz w:val="32"/>
          <w:szCs w:val="32"/>
          <w:lang w:val="en-US" w:eastAsia="zh-CN" w:bidi="ar-SA"/>
        </w:rPr>
        <w:t>300</w:t>
      </w:r>
      <w:r>
        <w:rPr>
          <w:rFonts w:hint="eastAsia" w:ascii="Times New Roman" w:hAnsi="Times New Roman" w:eastAsia="仿宋_GB2312" w:cs="Times New Roman"/>
          <w:color w:val="auto"/>
          <w:kern w:val="2"/>
          <w:sz w:val="32"/>
          <w:szCs w:val="32"/>
          <w:lang w:val="en-US" w:eastAsia="zh-CN" w:bidi="ar-SA"/>
        </w:rPr>
        <w:t>万元，执行数为</w:t>
      </w:r>
      <w:r>
        <w:rPr>
          <w:rFonts w:hint="eastAsia" w:ascii="Times New Roman" w:cs="Times New Roman"/>
          <w:color w:val="auto"/>
          <w:kern w:val="2"/>
          <w:sz w:val="32"/>
          <w:szCs w:val="32"/>
          <w:lang w:val="en-US" w:eastAsia="zh-CN" w:bidi="ar-SA"/>
        </w:rPr>
        <w:t>300</w:t>
      </w:r>
      <w:r>
        <w:rPr>
          <w:rFonts w:hint="eastAsia" w:ascii="Times New Roman" w:hAnsi="Times New Roman" w:eastAsia="仿宋_GB2312" w:cs="Times New Roman"/>
          <w:color w:val="auto"/>
          <w:kern w:val="2"/>
          <w:sz w:val="32"/>
          <w:szCs w:val="32"/>
          <w:lang w:val="en-US" w:eastAsia="zh-CN" w:bidi="ar-SA"/>
        </w:rPr>
        <w:t>万元，完成预算的100%。</w:t>
      </w:r>
      <w:r>
        <w:rPr>
          <w:rFonts w:hint="eastAsia" w:ascii="仿宋_GB2312" w:hAnsi="宋体" w:eastAsia="仿宋_GB2312" w:cs="Times New Roman"/>
          <w:color w:val="auto"/>
          <w:kern w:val="2"/>
          <w:sz w:val="32"/>
          <w:szCs w:val="32"/>
          <w:lang w:val="en-US" w:eastAsia="zh-CN" w:bidi="ar-SA"/>
        </w:rPr>
        <w:t>截止</w:t>
      </w:r>
      <w:r>
        <w:rPr>
          <w:rFonts w:hint="default" w:ascii="仿宋_GB2312" w:hAnsi="宋体" w:eastAsia="仿宋_GB2312" w:cs="Times New Roman"/>
          <w:color w:val="auto"/>
          <w:kern w:val="2"/>
          <w:sz w:val="32"/>
          <w:szCs w:val="32"/>
          <w:lang w:val="zh-CN" w:eastAsia="zh-CN" w:bidi="ar-SA"/>
        </w:rPr>
        <w:t>2020年</w:t>
      </w:r>
      <w:r>
        <w:rPr>
          <w:rFonts w:hint="eastAsia" w:ascii="仿宋_GB2312" w:hAnsi="宋体" w:eastAsia="仿宋_GB2312" w:cs="Times New Roman"/>
          <w:color w:val="auto"/>
          <w:kern w:val="2"/>
          <w:sz w:val="32"/>
          <w:szCs w:val="32"/>
          <w:lang w:val="en-US" w:eastAsia="zh-CN" w:bidi="ar-SA"/>
        </w:rPr>
        <w:t>底，完工项目验收初步验收率100%</w:t>
      </w:r>
      <w:r>
        <w:rPr>
          <w:rFonts w:hint="default"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en-US" w:eastAsia="zh-CN" w:bidi="ar-SA"/>
        </w:rPr>
        <w:t>工程验收合格率100%，已建工程不存在质量问题</w:t>
      </w:r>
      <w:r>
        <w:rPr>
          <w:rFonts w:hint="default" w:ascii="仿宋_GB2312" w:hAnsi="宋体" w:eastAsia="仿宋_GB2312" w:cs="Times New Roman"/>
          <w:color w:val="auto"/>
          <w:kern w:val="2"/>
          <w:sz w:val="32"/>
          <w:szCs w:val="32"/>
          <w:lang w:val="zh-CN" w:eastAsia="zh-CN" w:bidi="ar-SA"/>
        </w:rPr>
        <w:t>。</w:t>
      </w:r>
      <w:r>
        <w:rPr>
          <w:rFonts w:hint="default" w:ascii="仿宋_GB2312" w:hAnsi="宋体" w:eastAsia="仿宋_GB2312" w:cs="Times New Roman"/>
          <w:color w:val="auto"/>
          <w:kern w:val="2"/>
          <w:sz w:val="32"/>
          <w:szCs w:val="32"/>
          <w:lang w:val="en-US" w:eastAsia="zh-CN" w:bidi="ar-SA"/>
        </w:rPr>
        <w:t>项目资金到位率为100%</w:t>
      </w:r>
      <w:r>
        <w:rPr>
          <w:rFonts w:hint="eastAsia" w:hAnsi="宋体" w:cs="Times New Roman"/>
          <w:color w:val="auto"/>
          <w:kern w:val="2"/>
          <w:sz w:val="32"/>
          <w:szCs w:val="32"/>
          <w:lang w:val="en-US" w:eastAsia="zh-CN" w:bidi="ar-SA"/>
        </w:rPr>
        <w:t>。</w:t>
      </w:r>
      <w:r>
        <w:rPr>
          <w:rFonts w:hint="eastAsia" w:ascii="仿宋_GB2312" w:hAnsi="宋体" w:eastAsia="仿宋_GB2312" w:cs="Times New Roman"/>
          <w:color w:val="auto"/>
          <w:kern w:val="2"/>
          <w:sz w:val="32"/>
          <w:szCs w:val="32"/>
          <w:lang w:val="en-US" w:eastAsia="zh-CN" w:bidi="ar-SA"/>
        </w:rPr>
        <w:t>恢复</w:t>
      </w:r>
      <w:r>
        <w:rPr>
          <w:rFonts w:hint="default" w:ascii="仿宋_GB2312" w:hAnsi="宋体" w:eastAsia="仿宋_GB2312" w:cs="Times New Roman"/>
          <w:color w:val="auto"/>
          <w:kern w:val="2"/>
          <w:sz w:val="32"/>
          <w:szCs w:val="32"/>
          <w:lang w:val="en-US" w:eastAsia="zh-CN" w:bidi="ar-SA"/>
        </w:rPr>
        <w:t>供水能力</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en-US" w:eastAsia="zh-CN" w:bidi="ar-SA"/>
        </w:rPr>
        <w:t>灌溉面积</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en-US" w:eastAsia="zh-CN" w:bidi="ar-SA"/>
        </w:rPr>
        <w:t>保护耕地面积</w:t>
      </w:r>
      <w:r>
        <w:rPr>
          <w:rFonts w:hint="eastAsia" w:ascii="仿宋_GB2312" w:hAnsi="宋体" w:eastAsia="仿宋_GB2312" w:cs="Times New Roman"/>
          <w:color w:val="auto"/>
          <w:kern w:val="2"/>
          <w:sz w:val="32"/>
          <w:szCs w:val="32"/>
          <w:lang w:val="en-US" w:eastAsia="zh-CN" w:bidi="ar-SA"/>
        </w:rPr>
        <w:t>指标均达到2020年省级水利救灾资金绩效目标情况表的全部指标。</w:t>
      </w:r>
      <w:r>
        <w:rPr>
          <w:rFonts w:hint="default" w:ascii="仿宋_GB2312" w:hAnsi="宋体" w:eastAsia="仿宋_GB2312" w:cs="Times New Roman"/>
          <w:color w:val="auto"/>
          <w:kern w:val="2"/>
          <w:sz w:val="32"/>
          <w:szCs w:val="32"/>
          <w:lang w:val="en-US" w:eastAsia="zh-CN" w:bidi="ar-SA"/>
        </w:rPr>
        <w:t>截至</w:t>
      </w:r>
      <w:r>
        <w:rPr>
          <w:rFonts w:hint="eastAsia" w:ascii="仿宋_GB2312" w:hAnsi="宋体" w:eastAsia="仿宋_GB2312" w:cs="Times New Roman"/>
          <w:color w:val="auto"/>
          <w:kern w:val="2"/>
          <w:sz w:val="32"/>
          <w:szCs w:val="32"/>
          <w:lang w:val="en-US" w:eastAsia="zh-CN" w:bidi="ar-SA"/>
        </w:rPr>
        <w:t>目前</w:t>
      </w:r>
      <w:r>
        <w:rPr>
          <w:rFonts w:hint="default" w:ascii="仿宋_GB2312" w:hAnsi="宋体" w:eastAsia="仿宋_GB2312" w:cs="Times New Roman"/>
          <w:color w:val="auto"/>
          <w:kern w:val="2"/>
          <w:sz w:val="32"/>
          <w:szCs w:val="32"/>
          <w:lang w:val="en-US" w:eastAsia="zh-CN" w:bidi="ar-SA"/>
        </w:rPr>
        <w:t>，</w:t>
      </w:r>
      <w:r>
        <w:rPr>
          <w:rFonts w:hint="eastAsia" w:ascii="仿宋_GB2312" w:hAnsi="宋体" w:eastAsia="仿宋_GB2312" w:cs="Times New Roman"/>
          <w:color w:val="auto"/>
          <w:kern w:val="2"/>
          <w:sz w:val="32"/>
          <w:szCs w:val="32"/>
          <w:lang w:val="en-US" w:eastAsia="zh-CN" w:bidi="ar-SA"/>
        </w:rPr>
        <w:t>发生</w:t>
      </w:r>
      <w:r>
        <w:rPr>
          <w:rFonts w:hint="default" w:ascii="仿宋_GB2312" w:hAnsi="宋体" w:eastAsia="仿宋_GB2312" w:cs="Times New Roman"/>
          <w:color w:val="auto"/>
          <w:kern w:val="2"/>
          <w:sz w:val="32"/>
          <w:szCs w:val="32"/>
          <w:lang w:val="en-US" w:eastAsia="zh-CN" w:bidi="ar-SA"/>
        </w:rPr>
        <w:t>工程设计标准内洪水</w:t>
      </w:r>
      <w:r>
        <w:rPr>
          <w:rFonts w:hint="eastAsia" w:ascii="仿宋_GB2312" w:hAnsi="宋体" w:eastAsia="仿宋_GB2312" w:cs="Times New Roman"/>
          <w:color w:val="auto"/>
          <w:kern w:val="2"/>
          <w:sz w:val="32"/>
          <w:szCs w:val="32"/>
          <w:lang w:val="en-US" w:eastAsia="zh-CN" w:bidi="ar-SA"/>
        </w:rPr>
        <w:t>未</w:t>
      </w:r>
      <w:r>
        <w:rPr>
          <w:rFonts w:hint="default" w:ascii="仿宋_GB2312" w:hAnsi="宋体" w:eastAsia="仿宋_GB2312" w:cs="Times New Roman"/>
          <w:color w:val="auto"/>
          <w:kern w:val="2"/>
          <w:sz w:val="32"/>
          <w:szCs w:val="32"/>
          <w:lang w:val="en-US" w:eastAsia="zh-CN" w:bidi="ar-SA"/>
        </w:rPr>
        <w:t>受严重影</w:t>
      </w:r>
      <w:r>
        <w:rPr>
          <w:rFonts w:hint="eastAsia" w:ascii="仿宋_GB2312" w:hAnsi="宋体" w:eastAsia="仿宋_GB2312" w:cs="Times New Roman"/>
          <w:color w:val="auto"/>
          <w:kern w:val="2"/>
          <w:sz w:val="32"/>
          <w:szCs w:val="32"/>
          <w:lang w:val="en-US" w:eastAsia="zh-CN" w:bidi="ar-SA"/>
        </w:rPr>
        <w:t>响，</w:t>
      </w:r>
      <w:r>
        <w:rPr>
          <w:rFonts w:hint="default" w:ascii="仿宋_GB2312" w:hAnsi="宋体" w:eastAsia="仿宋_GB2312" w:cs="Times New Roman"/>
          <w:color w:val="auto"/>
          <w:kern w:val="2"/>
          <w:sz w:val="32"/>
          <w:szCs w:val="32"/>
          <w:lang w:val="en-US" w:eastAsia="zh-CN" w:bidi="ar-SA"/>
        </w:rPr>
        <w:t>已建工程</w:t>
      </w:r>
      <w:r>
        <w:rPr>
          <w:rFonts w:hint="eastAsia" w:ascii="仿宋_GB2312" w:hAnsi="宋体" w:eastAsia="仿宋_GB2312" w:cs="Times New Roman"/>
          <w:color w:val="auto"/>
          <w:kern w:val="2"/>
          <w:sz w:val="32"/>
          <w:szCs w:val="32"/>
          <w:lang w:val="en-US" w:eastAsia="zh-CN" w:bidi="ar-SA"/>
        </w:rPr>
        <w:t>目前</w:t>
      </w:r>
      <w:r>
        <w:rPr>
          <w:rFonts w:hint="default" w:ascii="仿宋_GB2312" w:hAnsi="宋体" w:eastAsia="仿宋_GB2312" w:cs="Times New Roman"/>
          <w:color w:val="auto"/>
          <w:kern w:val="2"/>
          <w:sz w:val="32"/>
          <w:szCs w:val="32"/>
          <w:lang w:val="en-US" w:eastAsia="zh-CN" w:bidi="ar-SA"/>
        </w:rPr>
        <w:t>良性运行。</w:t>
      </w: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2392"/>
        <w:gridCol w:w="2392"/>
        <w:gridCol w:w="2394"/>
        <w:gridCol w:w="2392"/>
      </w:tblGrid>
      <w:tr>
        <w:tblPrEx>
          <w:tblCellMar>
            <w:top w:w="0" w:type="dxa"/>
            <w:left w:w="0" w:type="dxa"/>
            <w:bottom w:w="0" w:type="dxa"/>
            <w:right w:w="0" w:type="dxa"/>
          </w:tblCellMar>
        </w:tblPrEx>
        <w:trPr>
          <w:trHeight w:val="1251" w:hRule="atLeast"/>
          <w:jc w:val="center"/>
        </w:trPr>
        <w:tc>
          <w:tcPr>
            <w:tcW w:w="9960" w:type="dxa"/>
            <w:gridSpan w:val="5"/>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auto"/>
                <w:sz w:val="36"/>
                <w:szCs w:val="36"/>
              </w:rPr>
            </w:pPr>
            <w:r>
              <w:rPr>
                <w:rFonts w:hint="eastAsia" w:ascii="宋体" w:hAnsi="宋体" w:cs="宋体"/>
                <w:b/>
                <w:bCs/>
                <w:color w:val="auto"/>
                <w:kern w:val="0"/>
                <w:sz w:val="36"/>
                <w:szCs w:val="36"/>
                <w:lang w:bidi="ar"/>
              </w:rPr>
              <w:t>项目绩效目标完成情况表</w:t>
            </w:r>
            <w:r>
              <w:rPr>
                <w:rFonts w:hint="eastAsia" w:ascii="宋体" w:hAnsi="宋体" w:cs="宋体"/>
                <w:b/>
                <w:bCs/>
                <w:color w:val="auto"/>
                <w:kern w:val="0"/>
                <w:sz w:val="36"/>
                <w:szCs w:val="36"/>
                <w:lang w:bidi="ar"/>
              </w:rPr>
              <w:br w:type="textWrapping"/>
            </w:r>
            <w:r>
              <w:rPr>
                <w:rFonts w:hint="eastAsia" w:ascii="宋体" w:hAnsi="宋体" w:cs="宋体"/>
                <w:color w:val="auto"/>
                <w:kern w:val="0"/>
                <w:sz w:val="36"/>
                <w:szCs w:val="36"/>
                <w:lang w:bidi="ar"/>
              </w:rPr>
              <w:t>(20</w:t>
            </w:r>
            <w:r>
              <w:rPr>
                <w:rFonts w:hint="eastAsia" w:ascii="宋体" w:hAnsi="宋体" w:cs="宋体"/>
                <w:color w:val="auto"/>
                <w:kern w:val="0"/>
                <w:sz w:val="36"/>
                <w:szCs w:val="36"/>
                <w:lang w:val="en-US" w:eastAsia="zh-CN" w:bidi="ar"/>
              </w:rPr>
              <w:t>20</w:t>
            </w:r>
            <w:r>
              <w:rPr>
                <w:rFonts w:hint="eastAsia" w:ascii="宋体" w:hAnsi="宋体" w:cs="宋体"/>
                <w:color w:val="auto"/>
                <w:kern w:val="0"/>
                <w:sz w:val="36"/>
                <w:szCs w:val="36"/>
                <w:lang w:bidi="ar"/>
              </w:rPr>
              <w:t>年度)</w:t>
            </w:r>
          </w:p>
        </w:tc>
      </w:tr>
      <w:tr>
        <w:tblPrEx>
          <w:tblCellMar>
            <w:top w:w="0" w:type="dxa"/>
            <w:left w:w="0" w:type="dxa"/>
            <w:bottom w:w="0" w:type="dxa"/>
            <w:right w:w="0" w:type="dxa"/>
          </w:tblCellMar>
        </w:tblPrEx>
        <w:trPr>
          <w:trHeight w:val="27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eastAsia="宋体" w:cs="宋体"/>
                <w:color w:val="auto"/>
                <w:kern w:val="2"/>
                <w:sz w:val="24"/>
                <w:szCs w:val="24"/>
                <w:lang w:val="zh-CN" w:eastAsia="zh-CN" w:bidi="ar-SA"/>
              </w:rPr>
              <w:t>四川省都江堰人民渠第二管理处2020年暴雨洪灾水毁工程</w:t>
            </w:r>
          </w:p>
        </w:tc>
      </w:tr>
      <w:tr>
        <w:tblPrEx>
          <w:tblCellMar>
            <w:top w:w="0" w:type="dxa"/>
            <w:left w:w="0" w:type="dxa"/>
            <w:bottom w:w="0" w:type="dxa"/>
            <w:right w:w="0" w:type="dxa"/>
          </w:tblCellMar>
        </w:tblPrEx>
        <w:trPr>
          <w:trHeight w:val="27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eastAsia="宋体" w:cs="宋体"/>
                <w:color w:val="auto"/>
                <w:kern w:val="2"/>
                <w:sz w:val="24"/>
                <w:szCs w:val="24"/>
                <w:lang w:val="zh-CN" w:eastAsia="zh-CN" w:bidi="ar-SA"/>
              </w:rPr>
              <w:t>四川省都江堰人民渠第二管理处</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预算执行情况(万元)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300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300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300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bl>
    <w:p>
      <w:pPr>
        <w:rPr>
          <w:color w:val="auto"/>
        </w:rPr>
      </w:pPr>
    </w:p>
    <w:tbl>
      <w:tblPr>
        <w:tblStyle w:val="14"/>
        <w:tblpPr w:leftFromText="180" w:rightFromText="180" w:vertAnchor="text" w:horzAnchor="page" w:tblpX="1093" w:tblpY="13"/>
        <w:tblOverlap w:val="never"/>
        <w:tblW w:w="9919" w:type="dxa"/>
        <w:tblInd w:w="0" w:type="dxa"/>
        <w:tblLayout w:type="fixed"/>
        <w:tblCellMar>
          <w:top w:w="0" w:type="dxa"/>
          <w:left w:w="108" w:type="dxa"/>
          <w:bottom w:w="0" w:type="dxa"/>
          <w:right w:w="108" w:type="dxa"/>
        </w:tblCellMar>
      </w:tblPr>
      <w:tblGrid>
        <w:gridCol w:w="588"/>
        <w:gridCol w:w="980"/>
        <w:gridCol w:w="1271"/>
        <w:gridCol w:w="2196"/>
        <w:gridCol w:w="1812"/>
        <w:gridCol w:w="3072"/>
      </w:tblGrid>
      <w:tr>
        <w:tblPrEx>
          <w:tblCellMar>
            <w:top w:w="0" w:type="dxa"/>
            <w:left w:w="108" w:type="dxa"/>
            <w:bottom w:w="0" w:type="dxa"/>
            <w:right w:w="108" w:type="dxa"/>
          </w:tblCellMar>
        </w:tblPrEx>
        <w:trPr>
          <w:trHeight w:val="300" w:hRule="exact"/>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年度总体目标</w:t>
            </w:r>
          </w:p>
        </w:tc>
        <w:tc>
          <w:tcPr>
            <w:tcW w:w="6259"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预期目标</w:t>
            </w:r>
          </w:p>
        </w:tc>
        <w:tc>
          <w:tcPr>
            <w:tcW w:w="307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实际完成情况</w:t>
            </w:r>
          </w:p>
        </w:tc>
      </w:tr>
      <w:tr>
        <w:tblPrEx>
          <w:tblCellMar>
            <w:top w:w="0" w:type="dxa"/>
            <w:left w:w="108" w:type="dxa"/>
            <w:bottom w:w="0" w:type="dxa"/>
            <w:right w:w="108" w:type="dxa"/>
          </w:tblCellMar>
        </w:tblPrEx>
        <w:trPr>
          <w:trHeight w:val="1684" w:hRule="exact"/>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p>
        </w:tc>
        <w:tc>
          <w:tcPr>
            <w:tcW w:w="6259"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2"/>
                <w:sz w:val="18"/>
                <w:szCs w:val="18"/>
                <w:lang w:val="en-US" w:eastAsia="zh-CN" w:bidi="ar-SA"/>
              </w:rPr>
              <w:t>整治修复水利工程16处。整治内容包括：1.明渠边坡垮塌整治15处；泄洪排水整治1处，</w:t>
            </w:r>
          </w:p>
        </w:tc>
        <w:tc>
          <w:tcPr>
            <w:tcW w:w="307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2"/>
                <w:sz w:val="18"/>
                <w:szCs w:val="18"/>
                <w:lang w:val="en-US" w:eastAsia="zh-CN" w:bidi="ar-SA"/>
              </w:rPr>
              <w:t>整治修复水利工程16处。整治内容包括：1.明渠边坡垮塌整治15处；泄洪排水整治1处，</w:t>
            </w:r>
          </w:p>
        </w:tc>
      </w:tr>
      <w:tr>
        <w:tblPrEx>
          <w:tblCellMar>
            <w:top w:w="0" w:type="dxa"/>
            <w:left w:w="108" w:type="dxa"/>
            <w:bottom w:w="0" w:type="dxa"/>
            <w:right w:w="108" w:type="dxa"/>
          </w:tblCellMar>
        </w:tblPrEx>
        <w:trPr>
          <w:trHeight w:val="533" w:hRule="exact"/>
        </w:trPr>
        <w:tc>
          <w:tcPr>
            <w:tcW w:w="58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绩</w:t>
            </w:r>
            <w:r>
              <w:rPr>
                <w:rFonts w:hint="default" w:ascii="Times New Roman" w:hAnsi="Times New Roman" w:cs="Times New Roman"/>
                <w:color w:val="auto"/>
                <w:kern w:val="0"/>
                <w:sz w:val="18"/>
                <w:szCs w:val="18"/>
                <w:highlight w:val="none"/>
              </w:rPr>
              <w:br w:type="textWrapping"/>
            </w:r>
            <w:r>
              <w:rPr>
                <w:rFonts w:hint="default" w:ascii="Times New Roman" w:hAnsi="Times New Roman" w:cs="Times New Roman"/>
                <w:color w:val="auto"/>
                <w:kern w:val="0"/>
                <w:sz w:val="18"/>
                <w:szCs w:val="18"/>
                <w:highlight w:val="none"/>
              </w:rPr>
              <w:t>效</w:t>
            </w:r>
            <w:r>
              <w:rPr>
                <w:rFonts w:hint="default" w:ascii="Times New Roman" w:hAnsi="Times New Roman" w:cs="Times New Roman"/>
                <w:color w:val="auto"/>
                <w:kern w:val="0"/>
                <w:sz w:val="18"/>
                <w:szCs w:val="18"/>
                <w:highlight w:val="none"/>
              </w:rPr>
              <w:br w:type="textWrapping"/>
            </w:r>
            <w:r>
              <w:rPr>
                <w:rFonts w:hint="default" w:ascii="Times New Roman" w:hAnsi="Times New Roman" w:cs="Times New Roman"/>
                <w:color w:val="auto"/>
                <w:kern w:val="0"/>
                <w:sz w:val="18"/>
                <w:szCs w:val="18"/>
                <w:highlight w:val="none"/>
              </w:rPr>
              <w:t>指</w:t>
            </w:r>
            <w:r>
              <w:rPr>
                <w:rFonts w:hint="default" w:ascii="Times New Roman" w:hAnsi="Times New Roman" w:cs="Times New Roman"/>
                <w:color w:val="auto"/>
                <w:kern w:val="0"/>
                <w:sz w:val="18"/>
                <w:szCs w:val="18"/>
                <w:highlight w:val="none"/>
              </w:rPr>
              <w:br w:type="textWrapping"/>
            </w:r>
            <w:r>
              <w:rPr>
                <w:rFonts w:hint="default" w:ascii="Times New Roman" w:hAnsi="Times New Roman" w:cs="Times New Roman"/>
                <w:color w:val="auto"/>
                <w:kern w:val="0"/>
                <w:sz w:val="18"/>
                <w:szCs w:val="18"/>
                <w:highlight w:val="none"/>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一级指标</w:t>
            </w:r>
          </w:p>
        </w:tc>
        <w:tc>
          <w:tcPr>
            <w:tcW w:w="127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二级指标</w:t>
            </w: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三级指标</w:t>
            </w:r>
          </w:p>
        </w:tc>
        <w:tc>
          <w:tcPr>
            <w:tcW w:w="181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eastAsia" w:ascii="宋体" w:hAnsi="宋体" w:cs="宋体"/>
                <w:color w:val="auto"/>
                <w:kern w:val="0"/>
                <w:sz w:val="18"/>
                <w:szCs w:val="18"/>
                <w:lang w:bidi="ar"/>
              </w:rPr>
              <w:t>预期指标值(包含数字及文字描述)</w:t>
            </w:r>
          </w:p>
        </w:tc>
        <w:tc>
          <w:tcPr>
            <w:tcW w:w="307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eastAsia" w:ascii="宋体" w:hAnsi="宋体" w:cs="宋体"/>
                <w:color w:val="auto"/>
                <w:kern w:val="0"/>
                <w:sz w:val="18"/>
                <w:szCs w:val="18"/>
                <w:lang w:bidi="ar"/>
              </w:rPr>
              <w:t>实际完成指标值(包含数字及文字描述)</w:t>
            </w:r>
          </w:p>
        </w:tc>
      </w:tr>
      <w:tr>
        <w:tblPrEx>
          <w:tblCellMar>
            <w:top w:w="0" w:type="dxa"/>
            <w:left w:w="108" w:type="dxa"/>
            <w:bottom w:w="0" w:type="dxa"/>
            <w:right w:w="108" w:type="dxa"/>
          </w:tblCellMar>
        </w:tblPrEx>
        <w:trPr>
          <w:trHeight w:val="1552" w:hRule="exac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产出指标</w:t>
            </w:r>
          </w:p>
        </w:tc>
        <w:tc>
          <w:tcPr>
            <w:tcW w:w="127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数量指标</w:t>
            </w: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排查消除防洪安全隐患</w:t>
            </w:r>
          </w:p>
        </w:tc>
        <w:tc>
          <w:tcPr>
            <w:tcW w:w="181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16处</w:t>
            </w:r>
          </w:p>
        </w:tc>
        <w:tc>
          <w:tcPr>
            <w:tcW w:w="307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16处</w:t>
            </w:r>
          </w:p>
        </w:tc>
      </w:tr>
      <w:tr>
        <w:tblPrEx>
          <w:tblCellMar>
            <w:top w:w="0" w:type="dxa"/>
            <w:left w:w="108" w:type="dxa"/>
            <w:bottom w:w="0" w:type="dxa"/>
            <w:right w:w="108" w:type="dxa"/>
          </w:tblCellMar>
        </w:tblPrEx>
        <w:trPr>
          <w:trHeight w:val="610" w:hRule="atLeas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p>
        </w:tc>
        <w:tc>
          <w:tcPr>
            <w:tcW w:w="1271" w:type="dxa"/>
            <w:vMerge w:val="restart"/>
            <w:tcBorders>
              <w:top w:val="nil"/>
              <w:left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质量指标</w:t>
            </w: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工程设计施工设计标准</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符合规范</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符合规范</w:t>
            </w:r>
          </w:p>
        </w:tc>
      </w:tr>
      <w:tr>
        <w:tblPrEx>
          <w:tblCellMar>
            <w:top w:w="0" w:type="dxa"/>
            <w:left w:w="108" w:type="dxa"/>
            <w:bottom w:w="0" w:type="dxa"/>
            <w:right w:w="108" w:type="dxa"/>
          </w:tblCellMar>
        </w:tblPrEx>
        <w:trPr>
          <w:trHeight w:val="908" w:hRule="atLeas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auto"/>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color w:val="auto"/>
              </w:rPr>
            </w:pPr>
          </w:p>
        </w:tc>
        <w:tc>
          <w:tcPr>
            <w:tcW w:w="1271" w:type="dxa"/>
            <w:vMerge w:val="continue"/>
            <w:tcBorders>
              <w:left w:val="single" w:color="auto" w:sz="4" w:space="0"/>
              <w:right w:val="single" w:color="auto" w:sz="4" w:space="0"/>
            </w:tcBorders>
            <w:vAlign w:val="center"/>
          </w:tcPr>
          <w:p>
            <w:pPr>
              <w:widowControl/>
              <w:spacing w:line="240" w:lineRule="exact"/>
              <w:jc w:val="left"/>
              <w:rPr>
                <w:color w:val="auto"/>
              </w:rPr>
            </w:pP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工程施工监理</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符合规范</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eastAsia" w:cs="Times New Roman"/>
                <w:color w:val="auto"/>
                <w:kern w:val="0"/>
                <w:sz w:val="18"/>
                <w:szCs w:val="18"/>
                <w:highlight w:val="none"/>
                <w:lang w:val="en-US" w:eastAsia="zh-CN"/>
              </w:rPr>
              <w:t>符合规范</w:t>
            </w:r>
          </w:p>
        </w:tc>
      </w:tr>
      <w:tr>
        <w:tblPrEx>
          <w:tblCellMar>
            <w:top w:w="0" w:type="dxa"/>
            <w:left w:w="108" w:type="dxa"/>
            <w:bottom w:w="0" w:type="dxa"/>
            <w:right w:w="108" w:type="dxa"/>
          </w:tblCellMar>
        </w:tblPrEx>
        <w:trPr>
          <w:trHeight w:val="816" w:hRule="atLeast"/>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color w:val="auto"/>
                <w:kern w:val="0"/>
                <w:sz w:val="18"/>
                <w:szCs w:val="18"/>
                <w:highlight w:val="none"/>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color w:val="auto"/>
                <w:kern w:val="0"/>
                <w:sz w:val="18"/>
                <w:szCs w:val="18"/>
                <w:highlight w:val="none"/>
              </w:rPr>
            </w:pPr>
          </w:p>
        </w:tc>
        <w:tc>
          <w:tcPr>
            <w:tcW w:w="1271"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color w:val="auto"/>
                <w:kern w:val="0"/>
                <w:sz w:val="18"/>
                <w:szCs w:val="18"/>
                <w:highlight w:val="none"/>
              </w:rPr>
            </w:pP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工程施工验收</w:t>
            </w:r>
          </w:p>
        </w:tc>
        <w:tc>
          <w:tcPr>
            <w:tcW w:w="181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通过验收</w:t>
            </w:r>
          </w:p>
        </w:tc>
        <w:tc>
          <w:tcPr>
            <w:tcW w:w="307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eastAsia" w:cs="Times New Roman"/>
                <w:color w:val="auto"/>
                <w:kern w:val="0"/>
                <w:sz w:val="18"/>
                <w:szCs w:val="18"/>
                <w:highlight w:val="none"/>
                <w:lang w:val="en-US" w:eastAsia="zh-CN"/>
              </w:rPr>
              <w:t>通过验收</w:t>
            </w:r>
          </w:p>
        </w:tc>
      </w:tr>
      <w:tr>
        <w:tblPrEx>
          <w:tblCellMar>
            <w:top w:w="0" w:type="dxa"/>
            <w:left w:w="108" w:type="dxa"/>
            <w:bottom w:w="0" w:type="dxa"/>
            <w:right w:w="108" w:type="dxa"/>
          </w:tblCellMar>
        </w:tblPrEx>
        <w:trPr>
          <w:trHeight w:val="536" w:hRule="exac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p>
        </w:tc>
        <w:tc>
          <w:tcPr>
            <w:tcW w:w="127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时效指标</w:t>
            </w: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资金下达到市州6个月内预算执行率</w:t>
            </w:r>
          </w:p>
        </w:tc>
        <w:tc>
          <w:tcPr>
            <w:tcW w:w="181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≥85%</w:t>
            </w:r>
          </w:p>
        </w:tc>
        <w:tc>
          <w:tcPr>
            <w:tcW w:w="307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100%</w:t>
            </w:r>
          </w:p>
        </w:tc>
      </w:tr>
      <w:tr>
        <w:tblPrEx>
          <w:tblCellMar>
            <w:top w:w="0" w:type="dxa"/>
            <w:left w:w="108" w:type="dxa"/>
            <w:bottom w:w="0" w:type="dxa"/>
            <w:right w:w="108" w:type="dxa"/>
          </w:tblCellMar>
        </w:tblPrEx>
        <w:trPr>
          <w:trHeight w:val="1340" w:hRule="atLeas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p>
        </w:tc>
        <w:tc>
          <w:tcPr>
            <w:tcW w:w="980" w:type="dxa"/>
            <w:vMerge w:val="restart"/>
            <w:tcBorders>
              <w:top w:val="nil"/>
              <w:left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效益指标</w:t>
            </w:r>
          </w:p>
        </w:tc>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eastAsia" w:cs="Times New Roman"/>
                <w:color w:val="auto"/>
                <w:kern w:val="0"/>
                <w:sz w:val="18"/>
                <w:szCs w:val="18"/>
                <w:highlight w:val="none"/>
                <w:lang w:val="en-US" w:eastAsia="zh-CN"/>
              </w:rPr>
              <w:t>经济效益指标</w:t>
            </w: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保证防洪工程安全度汛</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发生工程设计标准内洪水不受影响</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eastAsia" w:cs="Times New Roman"/>
                <w:color w:val="auto"/>
                <w:kern w:val="0"/>
                <w:sz w:val="18"/>
                <w:szCs w:val="18"/>
                <w:highlight w:val="none"/>
                <w:lang w:val="en-US" w:eastAsia="zh-CN"/>
              </w:rPr>
              <w:t>发生工程设计标准内洪水不受影响</w:t>
            </w:r>
          </w:p>
        </w:tc>
      </w:tr>
      <w:tr>
        <w:tblPrEx>
          <w:tblCellMar>
            <w:top w:w="0" w:type="dxa"/>
            <w:left w:w="108" w:type="dxa"/>
            <w:bottom w:w="0" w:type="dxa"/>
            <w:right w:w="108" w:type="dxa"/>
          </w:tblCellMar>
        </w:tblPrEx>
        <w:trPr>
          <w:trHeight w:val="911" w:hRule="atLeas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auto"/>
              </w:rPr>
            </w:pPr>
          </w:p>
        </w:tc>
        <w:tc>
          <w:tcPr>
            <w:tcW w:w="980" w:type="dxa"/>
            <w:vMerge w:val="continue"/>
            <w:tcBorders>
              <w:left w:val="single" w:color="auto" w:sz="4" w:space="0"/>
              <w:right w:val="single" w:color="auto" w:sz="4" w:space="0"/>
            </w:tcBorders>
            <w:vAlign w:val="center"/>
          </w:tcPr>
          <w:p>
            <w:pPr>
              <w:widowControl/>
              <w:spacing w:line="240" w:lineRule="exact"/>
              <w:jc w:val="left"/>
              <w:rPr>
                <w:color w:val="auto"/>
              </w:rPr>
            </w:pPr>
          </w:p>
        </w:tc>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auto"/>
              </w:rPr>
            </w:pPr>
            <w:r>
              <w:rPr>
                <w:rFonts w:hint="eastAsia" w:cs="Times New Roman"/>
                <w:color w:val="auto"/>
                <w:kern w:val="0"/>
                <w:sz w:val="18"/>
                <w:szCs w:val="18"/>
                <w:highlight w:val="none"/>
                <w:lang w:val="en-US" w:eastAsia="zh-CN"/>
              </w:rPr>
              <w:t>社会效益指标</w:t>
            </w: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保证居民社会活动平稳</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发生工程设计标准内洪水不受影响</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color w:val="auto"/>
                <w:kern w:val="0"/>
                <w:sz w:val="18"/>
                <w:szCs w:val="18"/>
                <w:highlight w:val="none"/>
              </w:rPr>
            </w:pPr>
            <w:r>
              <w:rPr>
                <w:rFonts w:hint="eastAsia" w:cs="Times New Roman"/>
                <w:color w:val="auto"/>
                <w:kern w:val="0"/>
                <w:sz w:val="18"/>
                <w:szCs w:val="18"/>
                <w:highlight w:val="none"/>
                <w:lang w:val="en-US" w:eastAsia="zh-CN"/>
              </w:rPr>
              <w:t>发生工程设计标准内洪水不受影响</w:t>
            </w:r>
          </w:p>
        </w:tc>
      </w:tr>
      <w:tr>
        <w:tblPrEx>
          <w:tblCellMar>
            <w:top w:w="0" w:type="dxa"/>
            <w:left w:w="108" w:type="dxa"/>
            <w:bottom w:w="0" w:type="dxa"/>
            <w:right w:w="108" w:type="dxa"/>
          </w:tblCellMar>
        </w:tblPrEx>
        <w:trPr>
          <w:trHeight w:val="805" w:hRule="atLeas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color w:val="auto"/>
                <w:kern w:val="0"/>
                <w:sz w:val="18"/>
                <w:szCs w:val="18"/>
                <w:highlight w:val="none"/>
              </w:rPr>
            </w:pPr>
          </w:p>
        </w:tc>
        <w:tc>
          <w:tcPr>
            <w:tcW w:w="980" w:type="dxa"/>
            <w:vMerge w:val="continue"/>
            <w:tcBorders>
              <w:left w:val="single" w:color="auto" w:sz="4" w:space="0"/>
              <w:right w:val="single" w:color="auto" w:sz="4" w:space="0"/>
            </w:tcBorders>
            <w:vAlign w:val="center"/>
          </w:tcPr>
          <w:p>
            <w:pPr>
              <w:widowControl/>
              <w:spacing w:line="240" w:lineRule="exact"/>
              <w:jc w:val="left"/>
              <w:rPr>
                <w:rFonts w:hint="default" w:ascii="Times New Roman" w:hAnsi="Times New Roman" w:cs="Times New Roman"/>
                <w:color w:val="auto"/>
                <w:kern w:val="0"/>
                <w:sz w:val="18"/>
                <w:szCs w:val="18"/>
                <w:highlight w:val="none"/>
              </w:rPr>
            </w:pPr>
          </w:p>
        </w:tc>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color w:val="auto"/>
                <w:kern w:val="0"/>
                <w:sz w:val="18"/>
                <w:szCs w:val="18"/>
                <w:highlight w:val="none"/>
              </w:rPr>
            </w:pPr>
            <w:r>
              <w:rPr>
                <w:rFonts w:hint="eastAsia" w:cs="Times New Roman"/>
                <w:color w:val="auto"/>
                <w:kern w:val="0"/>
                <w:sz w:val="18"/>
                <w:szCs w:val="18"/>
                <w:highlight w:val="none"/>
                <w:lang w:val="en-US" w:eastAsia="zh-CN"/>
              </w:rPr>
              <w:t>生态效益指标</w:t>
            </w: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促进地区生态和谐发展</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发生工程设计标准内洪水不受影响</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color w:val="auto"/>
                <w:kern w:val="0"/>
                <w:sz w:val="18"/>
                <w:szCs w:val="18"/>
                <w:highlight w:val="none"/>
              </w:rPr>
            </w:pPr>
            <w:r>
              <w:rPr>
                <w:rFonts w:hint="eastAsia" w:cs="Times New Roman"/>
                <w:color w:val="auto"/>
                <w:kern w:val="0"/>
                <w:sz w:val="18"/>
                <w:szCs w:val="18"/>
                <w:highlight w:val="none"/>
                <w:lang w:val="en-US" w:eastAsia="zh-CN"/>
              </w:rPr>
              <w:t>发生工程设计标准内洪水不受影响</w:t>
            </w:r>
          </w:p>
        </w:tc>
      </w:tr>
      <w:tr>
        <w:tblPrEx>
          <w:tblCellMar>
            <w:top w:w="0" w:type="dxa"/>
            <w:left w:w="108" w:type="dxa"/>
            <w:bottom w:w="0" w:type="dxa"/>
            <w:right w:w="108" w:type="dxa"/>
          </w:tblCellMar>
        </w:tblPrEx>
        <w:trPr>
          <w:trHeight w:val="603" w:hRule="atLeast"/>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color w:val="auto"/>
                <w:kern w:val="0"/>
                <w:sz w:val="18"/>
                <w:szCs w:val="18"/>
                <w:highlight w:val="none"/>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color w:val="auto"/>
                <w:kern w:val="0"/>
                <w:sz w:val="18"/>
                <w:szCs w:val="18"/>
                <w:highlight w:val="none"/>
              </w:rPr>
            </w:pPr>
          </w:p>
        </w:tc>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color w:val="auto"/>
                <w:kern w:val="0"/>
                <w:sz w:val="18"/>
                <w:szCs w:val="18"/>
                <w:highlight w:val="none"/>
              </w:rPr>
            </w:pPr>
            <w:r>
              <w:rPr>
                <w:rFonts w:hint="eastAsia" w:cs="Times New Roman"/>
                <w:color w:val="auto"/>
                <w:kern w:val="0"/>
                <w:sz w:val="18"/>
                <w:szCs w:val="18"/>
                <w:highlight w:val="none"/>
                <w:lang w:val="en-US" w:eastAsia="zh-CN"/>
              </w:rPr>
              <w:t>可持续影响指标</w:t>
            </w: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为国民经济持续健康发展和社会稳定提供安全保障</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发生工程设计标准内洪水不受影响</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color w:val="auto"/>
                <w:kern w:val="0"/>
                <w:sz w:val="18"/>
                <w:szCs w:val="18"/>
                <w:highlight w:val="none"/>
              </w:rPr>
            </w:pPr>
            <w:r>
              <w:rPr>
                <w:rFonts w:hint="eastAsia" w:cs="Times New Roman"/>
                <w:color w:val="auto"/>
                <w:kern w:val="0"/>
                <w:sz w:val="18"/>
                <w:szCs w:val="18"/>
                <w:highlight w:val="none"/>
                <w:lang w:val="en-US" w:eastAsia="zh-CN"/>
              </w:rPr>
              <w:t>发生工程设计标准内洪水不受影响</w:t>
            </w:r>
          </w:p>
        </w:tc>
      </w:tr>
      <w:tr>
        <w:tblPrEx>
          <w:tblCellMar>
            <w:top w:w="0" w:type="dxa"/>
            <w:left w:w="108" w:type="dxa"/>
            <w:bottom w:w="0" w:type="dxa"/>
            <w:right w:w="108" w:type="dxa"/>
          </w:tblCellMar>
        </w:tblPrEx>
        <w:trPr>
          <w:trHeight w:val="348" w:hRule="atLeast"/>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p>
        </w:tc>
        <w:tc>
          <w:tcPr>
            <w:tcW w:w="98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满意度</w:t>
            </w:r>
          </w:p>
          <w:p>
            <w:pPr>
              <w:widowControl/>
              <w:spacing w:line="240" w:lineRule="exact"/>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指标</w:t>
            </w:r>
          </w:p>
        </w:tc>
        <w:tc>
          <w:tcPr>
            <w:tcW w:w="1271" w:type="dxa"/>
            <w:vMerge w:val="restart"/>
            <w:tcBorders>
              <w:top w:val="nil"/>
              <w:left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服务对象满意度指标</w:t>
            </w: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上级主管部门满意度</w:t>
            </w:r>
          </w:p>
        </w:tc>
        <w:tc>
          <w:tcPr>
            <w:tcW w:w="1812" w:type="dxa"/>
            <w:vMerge w:val="restart"/>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≥90%</w:t>
            </w:r>
          </w:p>
        </w:tc>
        <w:tc>
          <w:tcPr>
            <w:tcW w:w="3072" w:type="dxa"/>
            <w:vMerge w:val="restart"/>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≥90%</w:t>
            </w:r>
          </w:p>
        </w:tc>
      </w:tr>
      <w:tr>
        <w:tblPrEx>
          <w:tblCellMar>
            <w:top w:w="0" w:type="dxa"/>
            <w:left w:w="108" w:type="dxa"/>
            <w:bottom w:w="0" w:type="dxa"/>
            <w:right w:w="108" w:type="dxa"/>
          </w:tblCellMar>
        </w:tblPrEx>
        <w:trPr>
          <w:trHeight w:val="348" w:hRule="atLeast"/>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left"/>
              <w:rPr>
                <w:color w:val="auto"/>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left"/>
              <w:rPr>
                <w:color w:val="auto"/>
              </w:rPr>
            </w:pPr>
          </w:p>
        </w:tc>
        <w:tc>
          <w:tcPr>
            <w:tcW w:w="1271" w:type="dxa"/>
            <w:vMerge w:val="continue"/>
            <w:tcBorders>
              <w:left w:val="single" w:color="auto" w:sz="4" w:space="0"/>
              <w:bottom w:val="single" w:color="auto" w:sz="4" w:space="0"/>
              <w:right w:val="single" w:color="auto" w:sz="4" w:space="0"/>
            </w:tcBorders>
            <w:vAlign w:val="center"/>
          </w:tcPr>
          <w:p>
            <w:pPr>
              <w:widowControl/>
              <w:spacing w:line="240" w:lineRule="exact"/>
              <w:jc w:val="left"/>
              <w:rPr>
                <w:color w:val="auto"/>
              </w:rPr>
            </w:pPr>
          </w:p>
        </w:tc>
        <w:tc>
          <w:tcPr>
            <w:tcW w:w="219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服务群众满意度</w:t>
            </w:r>
          </w:p>
        </w:tc>
        <w:tc>
          <w:tcPr>
            <w:tcW w:w="1812" w:type="dxa"/>
            <w:vMerge w:val="continue"/>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color w:val="auto"/>
                <w:kern w:val="0"/>
                <w:sz w:val="18"/>
                <w:szCs w:val="18"/>
                <w:highlight w:val="none"/>
              </w:rPr>
            </w:pPr>
          </w:p>
        </w:tc>
        <w:tc>
          <w:tcPr>
            <w:tcW w:w="3072" w:type="dxa"/>
            <w:vMerge w:val="continue"/>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color w:val="auto"/>
                <w:kern w:val="0"/>
                <w:sz w:val="18"/>
                <w:szCs w:val="18"/>
                <w:highlight w:val="none"/>
              </w:rPr>
            </w:pPr>
          </w:p>
        </w:tc>
      </w:tr>
    </w:tbl>
    <w:p>
      <w:pPr>
        <w:spacing w:line="580" w:lineRule="exact"/>
        <w:ind w:left="63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2.单位绩效评价结果</w:t>
      </w:r>
    </w:p>
    <w:p>
      <w:pPr>
        <w:widowControl/>
        <w:ind w:firstLine="640" w:firstLineChars="200"/>
        <w:jc w:val="left"/>
        <w:rPr>
          <w:rFonts w:ascii="仿宋_GB2312" w:eastAsia="仿宋_GB2312"/>
          <w:b/>
          <w:color w:val="auto"/>
          <w:sz w:val="32"/>
          <w:szCs w:val="32"/>
        </w:rPr>
      </w:pPr>
      <w:r>
        <w:rPr>
          <w:rFonts w:hint="eastAsia" w:ascii="仿宋_GB2312" w:hAnsi="仿宋_GB2312" w:eastAsia="仿宋_GB2312" w:cs="仿宋_GB2312"/>
          <w:color w:val="auto"/>
          <w:sz w:val="32"/>
          <w:szCs w:val="32"/>
        </w:rPr>
        <w:t>本单位自行组织对四川省都江堰人民渠第二管理处灌溉试验站、2018年暴雨洪灾水利灾后恢复重建、2020年暴雨洪灾水毁工程项目开展了绩效评价，《202</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年项目支出绩效自评报告》见附件</w:t>
      </w:r>
      <w:r>
        <w:rPr>
          <w:rFonts w:hint="eastAsia" w:ascii="仿宋_GB2312" w:hAnsi="仿宋_GB2312" w:eastAsia="仿宋_GB2312" w:cs="仿宋_GB2312"/>
          <w:color w:val="auto"/>
          <w:sz w:val="32"/>
          <w:szCs w:val="32"/>
          <w:lang w:eastAsia="zh-CN"/>
        </w:rPr>
        <w:t>（第四部分）</w:t>
      </w:r>
      <w:r>
        <w:rPr>
          <w:rFonts w:hint="eastAsia" w:ascii="仿宋_GB2312" w:hAnsi="仿宋_GB2312" w:eastAsia="仿宋_GB2312" w:cs="仿宋_GB2312"/>
          <w:color w:val="auto"/>
          <w:sz w:val="32"/>
          <w:szCs w:val="32"/>
        </w:rPr>
        <w:t>。</w:t>
      </w:r>
      <w:r>
        <w:rPr>
          <w:rFonts w:ascii="仿宋_GB2312" w:eastAsia="仿宋_GB2312"/>
          <w:b/>
          <w:color w:val="auto"/>
          <w:sz w:val="32"/>
          <w:szCs w:val="32"/>
        </w:rPr>
        <w:br w:type="page"/>
      </w:r>
    </w:p>
    <w:p>
      <w:pPr>
        <w:numPr>
          <w:ilvl w:val="0"/>
          <w:numId w:val="4"/>
        </w:numPr>
        <w:spacing w:line="600" w:lineRule="exact"/>
        <w:ind w:firstLine="660" w:firstLineChars="150"/>
        <w:jc w:val="center"/>
        <w:outlineLvl w:val="0"/>
        <w:rPr>
          <w:rStyle w:val="26"/>
          <w:rFonts w:ascii="黑体" w:hAnsi="黑体" w:eastAsia="黑体"/>
          <w:b w:val="0"/>
          <w:color w:val="auto"/>
        </w:rPr>
      </w:pPr>
      <w:r>
        <w:rPr>
          <w:rFonts w:hint="eastAsia" w:ascii="黑体" w:hAnsi="黑体" w:eastAsia="黑体"/>
          <w:color w:val="auto"/>
          <w:sz w:val="44"/>
          <w:szCs w:val="44"/>
        </w:rPr>
        <w:t>名</w:t>
      </w:r>
      <w:r>
        <w:rPr>
          <w:rStyle w:val="26"/>
          <w:rFonts w:hint="eastAsia" w:ascii="黑体" w:hAnsi="黑体" w:eastAsia="黑体"/>
          <w:b w:val="0"/>
          <w:color w:val="auto"/>
        </w:rPr>
        <w:t>词解释</w:t>
      </w:r>
      <w:bookmarkEnd w:id="49"/>
      <w:bookmarkEnd w:id="50"/>
    </w:p>
    <w:p>
      <w:pPr>
        <w:spacing w:line="600" w:lineRule="exact"/>
        <w:jc w:val="left"/>
        <w:rPr>
          <w:rFonts w:ascii="宋体"/>
          <w:b/>
          <w:color w:val="auto"/>
          <w:sz w:val="44"/>
          <w:szCs w:val="44"/>
        </w:rPr>
      </w:pPr>
    </w:p>
    <w:p>
      <w:pPr>
        <w:pStyle w:val="24"/>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1.财政拨款收入：指单位从同级财政部门取得的财政预算资金。</w:t>
      </w: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2.事业收入：指事业单位开展专业业务活动及辅助活动所取得的收入。主要是科研事业收入和学校根据国家有关部门批准的项目和标准收取的学费、住宿费等。</w:t>
      </w: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3.上级补助收入：指上级财政按财政体制规定或因专项需要补助给本级财政的款项。主要是税收返还收入、按财政体制规定由上级财政补助的款项、上级财政对本级的专项补助和临时性补助。</w:t>
      </w: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4.其他收入：指单位取得的除上述收入以外的各项收入。</w:t>
      </w:r>
    </w:p>
    <w:p>
      <w:pPr>
        <w:pStyle w:val="24"/>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.年初结转和结余：指以前年度尚未完成、结转到本年按有关规定继续使用的资金。</w:t>
      </w: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.教育支出（类）进修及培训（款）培训支出（项）：反映各部门安排的用于培训的支出。</w:t>
      </w: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.社会保障和就业支出（类）行政事业单位养老支出（款）事业单位离退休（项）：反映事业单位开支的离退休经费。</w:t>
      </w:r>
    </w:p>
    <w:p>
      <w:pPr>
        <w:pStyle w:val="24"/>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社会保障和就业支出（类）行政事业单位养老支出（款）机关事业单位基本养老保险缴费支出（项）：反映机关事业单位实施养老保险制度由单位缴纳的基本养老保险支出。</w:t>
      </w:r>
    </w:p>
    <w:p>
      <w:pPr>
        <w:pStyle w:val="24"/>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社会保障和就业支出（类）行政事业单位养老支出（款）机关事业单位职业年金缴费支出（项）：反映机关事业单位实施养老保险制度由单位实施缴纳的职业年金支出。</w:t>
      </w:r>
    </w:p>
    <w:p>
      <w:pPr>
        <w:pStyle w:val="24"/>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社会保障和就业支出（类）其他社会保障和就业支出（款）其他社会保障和就业支出（项）：反映上述项目以外其他用于社会保障和就业方面的支出。</w:t>
      </w:r>
    </w:p>
    <w:p>
      <w:pPr>
        <w:pStyle w:val="24"/>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.医疗健康支出（类）行政事业单位医疗（款）事业单位医疗（项）：反映财政部门安排的事业单位基本医疗保险缴费经费。</w:t>
      </w: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农林水支出（类）水利（款）水利工程建设（项）：反映水利系统用于江、河、湖、滩等水利工程建设支出，包括堤防、河道、水库、水利枢纽、涵闸、灌区、供水、蓄滞洪区等水利工程及其附属设备、设施的建设、更新改造、大中型病险水库防险、大中型灌区改造、农村电气化建设等支出。</w:t>
      </w:r>
    </w:p>
    <w:p>
      <w:pPr>
        <w:pStyle w:val="24"/>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农林水支出（类）水利（款）防汛（项）：反映防汛业务支出。有关事项包括防汛物资购臵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山洪灾害防治等。</w:t>
      </w:r>
    </w:p>
    <w:p>
      <w:pPr>
        <w:pStyle w:val="24"/>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农林水支出（类）水利（款）其他水利支出（项）：反映除上述项目以外其他用于水利方面的支出。</w:t>
      </w:r>
    </w:p>
    <w:p>
      <w:pPr>
        <w:pStyle w:val="24"/>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.住房保障支出（类）住房改革支出（款）住房公积金（项）：反映行政事业单位按人事、财政部门规定的基本工资和津贴补贴以及规定比例为职工缴纳的住房公积金。</w:t>
      </w:r>
    </w:p>
    <w:p>
      <w:pPr>
        <w:spacing w:line="600" w:lineRule="exact"/>
        <w:ind w:firstLine="640"/>
        <w:rPr>
          <w:rFonts w:ascii="仿宋" w:hAnsi="仿宋" w:eastAsia="仿宋"/>
          <w:b/>
          <w:color w:val="auto"/>
          <w:sz w:val="32"/>
          <w:szCs w:val="32"/>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.年末结转和结余：指本年度或以前年度预算安排、因客观条件发生变化无法按原计划实施，需延迟到以后年度按有关规定继续使用的资金。</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13</w:t>
      </w:r>
      <w:r>
        <w:rPr>
          <w:rFonts w:ascii="仿宋_GB2312" w:eastAsia="仿宋_GB2312"/>
          <w:color w:val="auto"/>
          <w:sz w:val="32"/>
          <w:szCs w:val="32"/>
        </w:rPr>
        <w:t>.</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14</w:t>
      </w:r>
      <w:r>
        <w:rPr>
          <w:rFonts w:ascii="仿宋_GB2312" w:eastAsia="仿宋_GB2312"/>
          <w:color w:val="auto"/>
          <w:sz w:val="32"/>
          <w:szCs w:val="32"/>
        </w:rPr>
        <w:t>.</w:t>
      </w:r>
      <w:r>
        <w:rPr>
          <w:rFonts w:hint="eastAsia" w:ascii="仿宋_GB2312" w:eastAsia="仿宋_GB2312"/>
          <w:color w:val="auto"/>
          <w:sz w:val="32"/>
          <w:szCs w:val="32"/>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ascii="仿宋_GB2312" w:eastAsia="仿宋_GB2312"/>
          <w:color w:val="auto"/>
          <w:sz w:val="32"/>
          <w:szCs w:val="32"/>
        </w:rPr>
        <w:t>.</w:t>
      </w:r>
      <w:r>
        <w:rPr>
          <w:rFonts w:hint="eastAsia" w:ascii="仿宋_GB2312" w:eastAsia="仿宋_GB2312"/>
          <w:color w:val="auto"/>
          <w:sz w:val="32"/>
          <w:szCs w:val="32"/>
        </w:rPr>
        <w:t>“三公”经费：指</w:t>
      </w:r>
      <w:r>
        <w:rPr>
          <w:rFonts w:hint="eastAsia" w:ascii="仿宋_GB2312" w:eastAsia="仿宋_GB2312"/>
          <w:color w:val="auto"/>
          <w:sz w:val="32"/>
          <w:szCs w:val="32"/>
          <w:lang w:eastAsia="zh-CN"/>
        </w:rPr>
        <w:t>单位</w:t>
      </w:r>
      <w:r>
        <w:rPr>
          <w:rFonts w:hint="eastAsia" w:ascii="仿宋_GB2312" w:eastAsia="仿宋_GB2312"/>
          <w:color w:val="auto"/>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djustRightInd w:val="0"/>
        <w:snapToGrid w:val="0"/>
        <w:spacing w:line="600" w:lineRule="exact"/>
        <w:ind w:firstLine="883" w:firstLineChars="200"/>
        <w:rPr>
          <w:rFonts w:ascii="仿宋_GB2312" w:hAnsi="仿宋_GB2312" w:eastAsia="仿宋_GB2312" w:cs="仿宋_GB2312"/>
          <w:color w:val="auto"/>
          <w:sz w:val="32"/>
          <w:szCs w:val="32"/>
        </w:rPr>
      </w:pPr>
      <w:bookmarkStart w:id="51" w:name="_Toc15377226"/>
      <w:r>
        <w:rPr>
          <w:rFonts w:ascii="宋体"/>
          <w:b/>
          <w:color w:val="auto"/>
          <w:sz w:val="44"/>
          <w:szCs w:val="44"/>
        </w:rPr>
        <w:br w:type="page"/>
      </w:r>
    </w:p>
    <w:p>
      <w:pPr>
        <w:numPr>
          <w:ilvl w:val="0"/>
          <w:numId w:val="4"/>
        </w:numPr>
        <w:adjustRightInd w:val="0"/>
        <w:snapToGrid w:val="0"/>
        <w:spacing w:line="600" w:lineRule="exact"/>
        <w:ind w:left="0" w:leftChars="0" w:firstLine="660" w:firstLineChars="150"/>
        <w:jc w:val="center"/>
        <w:rPr>
          <w:rStyle w:val="26"/>
          <w:rFonts w:hint="eastAsia" w:ascii="黑体" w:hAnsi="黑体" w:eastAsia="黑体"/>
          <w:b w:val="0"/>
          <w:color w:val="auto"/>
        </w:rPr>
      </w:pPr>
      <w:bookmarkStart w:id="52" w:name="_Toc15396614"/>
      <w:r>
        <w:rPr>
          <w:rStyle w:val="26"/>
          <w:rFonts w:hint="eastAsia" w:ascii="黑体" w:hAnsi="黑体" w:eastAsia="黑体"/>
          <w:b w:val="0"/>
          <w:color w:val="auto"/>
        </w:rPr>
        <w:t>附件</w:t>
      </w:r>
      <w:bookmarkEnd w:id="52"/>
    </w:p>
    <w:p>
      <w:pPr>
        <w:pStyle w:val="6"/>
        <w:rPr>
          <w:rFonts w:hint="eastAsia"/>
          <w:color w:val="auto"/>
        </w:rPr>
      </w:pPr>
    </w:p>
    <w:p>
      <w:pPr>
        <w:spacing w:line="600" w:lineRule="exact"/>
        <w:jc w:val="center"/>
        <w:rPr>
          <w:rFonts w:ascii="方正小标宋简体" w:hAnsi="宋体" w:eastAsia="方正小标宋简体"/>
          <w:color w:val="auto"/>
          <w:kern w:val="0"/>
          <w:sz w:val="44"/>
          <w:szCs w:val="44"/>
          <w:lang w:val="zh-CN"/>
        </w:rPr>
      </w:pPr>
      <w:r>
        <w:rPr>
          <w:rFonts w:hint="eastAsia" w:ascii="方正小标宋简体" w:hAnsi="宋体" w:eastAsia="方正小标宋简体"/>
          <w:color w:val="auto"/>
          <w:kern w:val="0"/>
          <w:sz w:val="44"/>
          <w:szCs w:val="44"/>
          <w:lang w:val="zh-CN"/>
        </w:rPr>
        <w:t>202</w:t>
      </w:r>
      <w:r>
        <w:rPr>
          <w:rFonts w:hint="eastAsia" w:ascii="方正小标宋简体" w:hAnsi="宋体" w:eastAsia="方正小标宋简体"/>
          <w:color w:val="auto"/>
          <w:kern w:val="0"/>
          <w:sz w:val="44"/>
          <w:szCs w:val="44"/>
        </w:rPr>
        <w:t>0</w:t>
      </w:r>
      <w:r>
        <w:rPr>
          <w:rFonts w:hint="eastAsia" w:ascii="方正小标宋简体" w:hAnsi="宋体" w:eastAsia="方正小标宋简体"/>
          <w:color w:val="auto"/>
          <w:kern w:val="0"/>
          <w:sz w:val="44"/>
          <w:szCs w:val="44"/>
          <w:lang w:val="zh-CN"/>
        </w:rPr>
        <w:t>年四川省都江堰人民渠第二管理处灌溉试验站项目支出绩效自评报告</w:t>
      </w:r>
    </w:p>
    <w:p>
      <w:pPr>
        <w:spacing w:line="600" w:lineRule="exact"/>
        <w:ind w:firstLine="640"/>
        <w:jc w:val="center"/>
        <w:rPr>
          <w:rFonts w:ascii="宋体" w:hAnsi="宋体"/>
          <w:color w:val="auto"/>
          <w:sz w:val="32"/>
          <w:szCs w:val="32"/>
          <w:lang w:val="zh-CN"/>
        </w:rPr>
      </w:pPr>
    </w:p>
    <w:p>
      <w:pPr>
        <w:adjustRightInd w:val="0"/>
        <w:snapToGrid w:val="0"/>
        <w:spacing w:line="600" w:lineRule="exact"/>
        <w:ind w:firstLine="720"/>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2015年6月，《水利部关于印发全国灌溉试验站网建设规划的通知》（水农〔2015〕239号）将四川省都江堰人民渠第二管理处灌溉试验站列入全国灌溉试验站规划名录重点站。按照国家发改委和水利部2016年1月联合发文的《国家发展改革委 水利部关于印发大中型灌区续建配套节水改造项目建设管理办法的通知》（发改农经〔2015〕3139号）文件精神，灌溉试验站建设可列入大中型灌区续建配套节水改造项目建设任务。</w:t>
      </w:r>
    </w:p>
    <w:p>
      <w:pPr>
        <w:numPr>
          <w:ilvl w:val="0"/>
          <w:numId w:val="5"/>
        </w:numPr>
        <w:adjustRightInd w:val="0"/>
        <w:snapToGrid w:val="0"/>
        <w:spacing w:line="600" w:lineRule="exact"/>
        <w:ind w:firstLine="720"/>
        <w:rPr>
          <w:rFonts w:hint="eastAsia"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项目资金申报及批复情况</w:t>
      </w:r>
    </w:p>
    <w:p>
      <w:pPr>
        <w:numPr>
          <w:ilvl w:val="0"/>
          <w:numId w:val="0"/>
        </w:numPr>
        <w:adjustRightInd w:val="0"/>
        <w:snapToGrid w:val="0"/>
        <w:spacing w:line="600" w:lineRule="exact"/>
        <w:ind w:firstLine="960" w:firstLineChars="30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2018年6月，《四川省发展和改革委员会关于都江堰人民渠第二管理处灌溉试验站可行性研究报告的批复》（川发农经〔2018〕285号）文件批复试验站可行性研究报告。2019年4月，《四川省都江堰管理局关于转下达2019年都江堰灌区续建配套与节水改造工程投资计划的通知》（都局发〔2019〕61号）文件下达试验站项目资金3945万元。2019年8月，《四川省水利厅关于四川省都江堰人民渠第二管理处灌溉试验站初步设计的批复》（川水函〔2019〕923号）文件对试验站项目初设报告进行批复，项目批复投资概算3944.82万元。2020年，试验站项目年度预算</w:t>
      </w:r>
      <w:r>
        <w:rPr>
          <w:rFonts w:ascii="仿宋_GB2312" w:hAnsi="宋体" w:eastAsia="仿宋_GB2312"/>
          <w:color w:val="auto"/>
          <w:sz w:val="32"/>
          <w:szCs w:val="32"/>
          <w:lang w:val="zh-CN"/>
        </w:rPr>
        <w:t>1921.23万元</w:t>
      </w:r>
      <w:r>
        <w:rPr>
          <w:rFonts w:hint="eastAsia" w:ascii="仿宋_GB2312" w:hAnsi="宋体" w:eastAsia="仿宋_GB2312"/>
          <w:color w:val="auto"/>
          <w:sz w:val="32"/>
          <w:szCs w:val="32"/>
          <w:lang w:val="zh-CN"/>
        </w:rPr>
        <w:t>，执行数为1782.61万元，完成预算的92.78%。</w:t>
      </w:r>
    </w:p>
    <w:p>
      <w:pPr>
        <w:adjustRightInd w:val="0"/>
        <w:snapToGrid w:val="0"/>
        <w:spacing w:line="600" w:lineRule="exact"/>
        <w:ind w:firstLine="640" w:firstLineChars="200"/>
        <w:rPr>
          <w:rFonts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（二）项目绩效目标</w:t>
      </w:r>
    </w:p>
    <w:p>
      <w:pPr>
        <w:adjustRightInd w:val="0"/>
        <w:snapToGrid w:val="0"/>
        <w:spacing w:line="600" w:lineRule="exact"/>
        <w:ind w:firstLine="640" w:firstLineChars="20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试验站项目建设内容：项目总占地面积118.7亩，分为综合试验管理区和试验区两大部分。其中综合试验管理区包含综合实验管理楼等设施，试验区部分布置9类试验区。人二处试验站功能区的主要建设内容包括：设置水稻试区52个，其中48个小区、4个育苗区；旱地经济作物试验区12个，分为小管出流区、旱作物试验小区、山丘经济作物中试区、蔬菜种植区、地面沟灌区、微喷灌区及滴灌区；旱作测坑36个；水稻测坑24个；测筒试区1个；布置径流场1处；设置日光温室2栋，轴线面积共1600平方米；水环境综合试验区1处；气象观测场1处；数据采集点9个；新建机井1座；新建输水渠道616米；智慧农业物联网系统。</w:t>
      </w:r>
    </w:p>
    <w:p>
      <w:pPr>
        <w:adjustRightInd w:val="0"/>
        <w:snapToGrid w:val="0"/>
        <w:spacing w:line="600" w:lineRule="exact"/>
        <w:ind w:firstLine="640" w:firstLineChars="20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试验站年度目标为：完成综合管理处房屋主体建设；完成试验区格田建设；完成旱作、水稻、桶栽测坑基础开挖；完成试验区主道路路基开挖；完成水环境综合试区场地清理；设备进场率达到80%；完成格田进水管网建设。</w:t>
      </w:r>
    </w:p>
    <w:p>
      <w:pPr>
        <w:adjustRightInd w:val="0"/>
        <w:snapToGrid w:val="0"/>
        <w:spacing w:line="600" w:lineRule="exact"/>
        <w:ind w:firstLine="640" w:firstLineChars="20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年度目标完成情况：完成了综合管理处房屋主体建设，并开始外墙装饰工程；完成了80%试验区格田建设任务；完成了3个测坑基础开挖，并完成旱作和水稻测定底板浇筑；完成了试验区主路路基开挖和水环境综合试区场地清理；完成了50%设备到场率；完成了45%格田进水管网建设。</w:t>
      </w:r>
    </w:p>
    <w:p>
      <w:pPr>
        <w:adjustRightInd w:val="0"/>
        <w:snapToGrid w:val="0"/>
        <w:spacing w:line="600" w:lineRule="exact"/>
        <w:ind w:firstLine="720"/>
        <w:rPr>
          <w:rFonts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（三）项目资金申报相符性</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按照《国家发展改革委 水利部关于印发大中型灌区续建配套节水改造项目建设管理办法的通知》（发改农经〔2015〕3139号）文件精神。试验站项目列入大中型灌区续建配套节水改造项目建设任务。试验站2020年项目资金预算由《四川省都江堰管理局关于转下达2019年都江堰灌区续建配套与节水改造工程投资计划的通知》（都局发〔2019〕61号）文件下达。</w:t>
      </w:r>
    </w:p>
    <w:p>
      <w:pPr>
        <w:adjustRightInd w:val="0"/>
        <w:snapToGrid w:val="0"/>
        <w:spacing w:line="600" w:lineRule="exact"/>
        <w:ind w:firstLine="720"/>
        <w:rPr>
          <w:rFonts w:ascii="黑体" w:hAnsi="宋体" w:eastAsia="黑体"/>
          <w:color w:val="auto"/>
          <w:sz w:val="32"/>
          <w:szCs w:val="32"/>
        </w:rPr>
      </w:pPr>
      <w:r>
        <w:rPr>
          <w:rFonts w:hint="eastAsia" w:ascii="黑体" w:hAnsi="宋体" w:eastAsia="黑体"/>
          <w:color w:val="auto"/>
          <w:sz w:val="32"/>
          <w:szCs w:val="32"/>
        </w:rPr>
        <w:t>二、项目实施及管理情况</w:t>
      </w:r>
    </w:p>
    <w:p>
      <w:pPr>
        <w:adjustRightInd w:val="0"/>
        <w:snapToGrid w:val="0"/>
        <w:spacing w:line="600" w:lineRule="exact"/>
        <w:ind w:firstLine="720"/>
        <w:rPr>
          <w:rFonts w:ascii="楷体_GB2312" w:hAnsi="宋体" w:eastAsia="楷体_GB2312"/>
          <w:b w:val="0"/>
          <w:bCs w:val="0"/>
          <w:color w:val="auto"/>
          <w:sz w:val="32"/>
          <w:szCs w:val="32"/>
          <w:lang w:val="zh-CN"/>
        </w:rPr>
      </w:pPr>
      <w:r>
        <w:rPr>
          <w:rFonts w:hint="eastAsia" w:ascii="仿宋_GB2312" w:hAnsi="宋体" w:eastAsia="仿宋_GB2312"/>
          <w:b w:val="0"/>
          <w:bCs w:val="0"/>
          <w:color w:val="auto"/>
          <w:sz w:val="32"/>
          <w:szCs w:val="32"/>
          <w:lang w:val="zh-CN"/>
        </w:rPr>
        <w:tab/>
      </w:r>
      <w:r>
        <w:rPr>
          <w:rFonts w:hint="eastAsia" w:ascii="楷体_GB2312" w:hAnsi="宋体" w:eastAsia="楷体_GB2312"/>
          <w:b w:val="0"/>
          <w:bCs w:val="0"/>
          <w:color w:val="auto"/>
          <w:sz w:val="32"/>
          <w:szCs w:val="32"/>
          <w:lang w:val="zh-CN"/>
        </w:rPr>
        <w:t>（一）资金计划、到位及使用情况</w:t>
      </w:r>
    </w:p>
    <w:p>
      <w:pPr>
        <w:adjustRightInd w:val="0"/>
        <w:snapToGrid w:val="0"/>
        <w:spacing w:line="600" w:lineRule="exact"/>
        <w:ind w:firstLine="72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1．资金计划及到位</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四川省都江堰管理局关于转下达2019年都江堰灌区续建配套与节水改造工程投资计划的通知》（都局发〔2019〕61号）文件下达项目资金3945万元，其中中央预算内资金3156万，地方配套789万元。2020年中央预算内资金到位率100%，地方配套资金未到位。资金文件要求地方配套资金占应占20%，但由于试验站是科研单位</w:t>
      </w:r>
      <w:r>
        <w:rPr>
          <w:rFonts w:hint="eastAsia" w:ascii="仿宋_GB2312" w:hAnsi="宋体" w:eastAsia="仿宋_GB2312"/>
          <w:color w:val="auto"/>
          <w:sz w:val="32"/>
          <w:szCs w:val="32"/>
          <w:highlight w:val="none"/>
          <w:lang w:val="zh-CN"/>
        </w:rPr>
        <w:t>，灌区内无特定的收益县（市、区），地方配套资金无法落实。</w:t>
      </w:r>
    </w:p>
    <w:p>
      <w:pPr>
        <w:adjustRightInd w:val="0"/>
        <w:snapToGrid w:val="0"/>
        <w:spacing w:line="600" w:lineRule="exact"/>
        <w:ind w:firstLine="72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2．资金使用</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项目设计合同价为224万元。项目监理合同价为59.1万元。施工分为土建标和设备标，其中土建标合同价为1987.21万元，设备标合同价为1222.02万元。截止2020年12月，试验站项目根据项目建设实际完成进度，由施工单位申报、监理审核、业主单位审定，完成年度资金拨付1782.61万元。</w:t>
      </w:r>
    </w:p>
    <w:p>
      <w:pPr>
        <w:adjustRightInd w:val="0"/>
        <w:snapToGrid w:val="0"/>
        <w:spacing w:line="600" w:lineRule="exact"/>
        <w:ind w:firstLine="720"/>
        <w:rPr>
          <w:rFonts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（二）项目财务管理情况</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严格按照水利项目建设资金管理有关规定，工程预付款、进度款、尾款等严格按照合同约定、项目实施进度拨付，业主单位项目部按规定提交拨付流程，财务及时处理，会计规范核算。工程项目核算执行国有建设单位会计制度，并按照中华人民共和国财政部第81号令基本建设财务规则以及相关的制度要求进行会计核算。工程款的支付、各项费用皆是用于本的建设并按照项目概算内容发生的费用支出。控制建设成本，专款专用。</w:t>
      </w:r>
    </w:p>
    <w:p>
      <w:pPr>
        <w:adjustRightInd w:val="0"/>
        <w:snapToGrid w:val="0"/>
        <w:spacing w:line="600" w:lineRule="exact"/>
        <w:ind w:firstLine="720"/>
        <w:rPr>
          <w:rFonts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（三）项目组织实施情况</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严格按照水利工程建设相关规定，组织实施试验站项目建设，项目分为土建标和机电设备标两个建设标段，对试验站设计、监理、建设三个环节采用公开招投标方式确定参建单位。第三检测机构采用自主招标方式确定。项目实施按照：设计图纸由设计方提交，监理审核，业主单位审定，监理签发，施工单位实施的程序执行。项目资金拨付按照：施工单位申报、监理审核、业主单位审定的程序实施。</w:t>
      </w:r>
    </w:p>
    <w:p>
      <w:pPr>
        <w:adjustRightInd w:val="0"/>
        <w:snapToGrid w:val="0"/>
        <w:spacing w:line="600" w:lineRule="exact"/>
        <w:ind w:firstLine="720"/>
        <w:rPr>
          <w:rFonts w:ascii="仿宋_GB2312" w:hAnsi="宋体" w:eastAsia="仿宋_GB2312"/>
          <w:color w:val="auto"/>
          <w:sz w:val="32"/>
          <w:szCs w:val="32"/>
          <w:lang w:val="zh-CN"/>
        </w:rPr>
      </w:pPr>
      <w:r>
        <w:rPr>
          <w:rFonts w:hint="eastAsia" w:ascii="黑体" w:hAnsi="宋体" w:eastAsia="黑体"/>
          <w:color w:val="auto"/>
          <w:sz w:val="32"/>
          <w:szCs w:val="32"/>
        </w:rPr>
        <w:t>三、项目绩效情况</w:t>
      </w:r>
      <w:r>
        <w:rPr>
          <w:rFonts w:hint="eastAsia" w:ascii="仿宋_GB2312" w:hAnsi="宋体" w:eastAsia="仿宋_GB2312"/>
          <w:color w:val="auto"/>
          <w:sz w:val="32"/>
          <w:szCs w:val="32"/>
          <w:lang w:val="zh-CN"/>
        </w:rPr>
        <w:tab/>
      </w:r>
    </w:p>
    <w:p>
      <w:pPr>
        <w:adjustRightInd w:val="0"/>
        <w:snapToGrid w:val="0"/>
        <w:spacing w:line="600" w:lineRule="exact"/>
        <w:ind w:firstLine="720"/>
        <w:rPr>
          <w:rFonts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（一）项目完成情况</w:t>
      </w:r>
    </w:p>
    <w:p>
      <w:pPr>
        <w:adjustRightInd w:val="0"/>
        <w:snapToGrid w:val="0"/>
        <w:spacing w:line="600" w:lineRule="exact"/>
        <w:ind w:firstLine="72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1.数量指标</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指标为：2020年，灌溉试验站项目建设完成试验站建设任务80%。实际项目建设完成试验站建设任务75%。</w:t>
      </w:r>
    </w:p>
    <w:p>
      <w:pPr>
        <w:adjustRightInd w:val="0"/>
        <w:snapToGrid w:val="0"/>
        <w:spacing w:line="600" w:lineRule="exact"/>
        <w:ind w:firstLine="72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2.质量指标</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指标为：年度工程质量合格率，工程建成后达到100%验收合格要求。完成情况：年度工程质量合格率达到100%验收合格要求。</w:t>
      </w:r>
    </w:p>
    <w:p>
      <w:pPr>
        <w:adjustRightInd w:val="0"/>
        <w:snapToGrid w:val="0"/>
        <w:spacing w:line="600" w:lineRule="exact"/>
        <w:ind w:firstLine="72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3.时效指标</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指标为：项目完成时间节点，12月底完成年度项目建设任务。完成情况：12月底完成年度项目建设任务93.75%。</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指标为：资金支付进度，按项目进度于2021年12月25日前支付年度预算资金。完成情况：完成年度预算的92.78%。</w:t>
      </w:r>
    </w:p>
    <w:p>
      <w:pPr>
        <w:adjustRightInd w:val="0"/>
        <w:snapToGrid w:val="0"/>
        <w:spacing w:line="600" w:lineRule="exact"/>
        <w:ind w:firstLine="720"/>
        <w:rPr>
          <w:rFonts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（二）项目效益情况</w:t>
      </w:r>
    </w:p>
    <w:p>
      <w:pPr>
        <w:adjustRightInd w:val="0"/>
        <w:snapToGrid w:val="0"/>
        <w:spacing w:line="600" w:lineRule="exact"/>
        <w:ind w:firstLine="72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1. 经济效益指标</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指标为：保障工程安全度汛，发生工程设计标准内洪水不受严重影响。完成情况：达到年度指标要求。</w:t>
      </w:r>
    </w:p>
    <w:p>
      <w:pPr>
        <w:adjustRightInd w:val="0"/>
        <w:snapToGrid w:val="0"/>
        <w:spacing w:line="600" w:lineRule="exact"/>
        <w:ind w:firstLine="72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2.社会效益指标</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指标为：为灌区粮经作物结构优化及水资源配置提供数据参考与科学依据，为灌区环境友好型农业发展提供技术保障，发生工程设计标准内洪水不受严重影响。完成情况：达到年度指标要求。</w:t>
      </w:r>
    </w:p>
    <w:p>
      <w:pPr>
        <w:adjustRightInd w:val="0"/>
        <w:snapToGrid w:val="0"/>
        <w:spacing w:line="600" w:lineRule="exact"/>
        <w:ind w:firstLine="72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3.生态效益指标</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指标为：促进地区生态和谐发展，发生工程设计标准内洪水不受严重影响。完成情况：达到年度指标要求。</w:t>
      </w:r>
    </w:p>
    <w:p>
      <w:pPr>
        <w:adjustRightInd w:val="0"/>
        <w:snapToGrid w:val="0"/>
        <w:spacing w:line="600" w:lineRule="exact"/>
        <w:ind w:firstLine="72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4.可持续影响指标</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指标为：为国民经济持续健康发展和社会稳定提供安全保障，发生工程设计标准内洪水不受严重影响。完成情况：达到年度指标要求。</w:t>
      </w:r>
    </w:p>
    <w:p>
      <w:pPr>
        <w:adjustRightInd w:val="0"/>
        <w:snapToGrid w:val="0"/>
        <w:spacing w:line="600" w:lineRule="exact"/>
        <w:ind w:firstLine="72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5.满意度指标</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ab/>
      </w:r>
      <w:r>
        <w:rPr>
          <w:rFonts w:hint="eastAsia" w:ascii="仿宋_GB2312" w:hAnsi="宋体" w:eastAsia="仿宋_GB2312"/>
          <w:color w:val="auto"/>
          <w:sz w:val="32"/>
          <w:szCs w:val="32"/>
          <w:lang w:val="zh-CN"/>
        </w:rPr>
        <w:t>指标为：上级主管部门满意度达到90%以上。完成情况：上级主管部门满意度达到91%以上</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仿宋_GB2312" w:hAnsi="宋体" w:eastAsia="仿宋_GB2312"/>
          <w:color w:val="auto"/>
          <w:sz w:val="32"/>
          <w:szCs w:val="32"/>
          <w:lang w:val="zh-CN"/>
        </w:rPr>
        <w:t>指标为：灌区群众满意度达到91%以上。完成情况：灌区群众满意度达到92%以上。</w:t>
      </w:r>
    </w:p>
    <w:p>
      <w:pPr>
        <w:adjustRightInd w:val="0"/>
        <w:snapToGrid w:val="0"/>
        <w:spacing w:line="600" w:lineRule="exact"/>
        <w:ind w:firstLine="720"/>
        <w:rPr>
          <w:rFonts w:ascii="黑体" w:hAnsi="宋体" w:eastAsia="黑体"/>
          <w:color w:val="auto"/>
          <w:sz w:val="32"/>
          <w:szCs w:val="32"/>
        </w:rPr>
      </w:pPr>
      <w:r>
        <w:rPr>
          <w:rFonts w:hint="eastAsia" w:ascii="黑体" w:hAnsi="宋体" w:eastAsia="黑体"/>
          <w:color w:val="auto"/>
          <w:sz w:val="32"/>
          <w:szCs w:val="32"/>
        </w:rPr>
        <w:t>四、问题及建议</w:t>
      </w:r>
    </w:p>
    <w:p>
      <w:pPr>
        <w:adjustRightInd w:val="0"/>
        <w:snapToGrid w:val="0"/>
        <w:spacing w:line="600" w:lineRule="exact"/>
        <w:ind w:firstLine="720"/>
        <w:rPr>
          <w:rFonts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（一）存在的问题</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试验站作为大型灌区续建配套与节水改造项目，在项目建设中主要有建设资金和设计建设标准两方面的问题。</w:t>
      </w:r>
    </w:p>
    <w:p>
      <w:pPr>
        <w:adjustRightInd w:val="0"/>
        <w:snapToGrid w:val="0"/>
        <w:spacing w:line="600" w:lineRule="exact"/>
        <w:ind w:firstLine="72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1.建设资金方面</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按照自己文件要求试验站项目资金由中央补助资金占80%，地方配套资金占20%组成。一方面，由于试验站是科研单位，灌区内无特定的收益县（市、区），地方配套资金无法落实。另一方面，项目涉及的土地征用和租赁费由业主自行解决，不纳入项目建设配套资金范围之内，业主单位建设资金投入压力大。</w:t>
      </w:r>
    </w:p>
    <w:p>
      <w:pPr>
        <w:adjustRightInd w:val="0"/>
        <w:snapToGrid w:val="0"/>
        <w:spacing w:line="600" w:lineRule="exact"/>
        <w:ind w:firstLine="72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2.设计建设标准方面</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试验站作为大型灌区续建配套与节水改造项目，按照一般水利工程标准进行设计标准控制审查和建设投资控制审查，特别是综合试验用房只能按照水利工程参考一般闸室标准设计，不能满足现代化试验站的科研、技术培训和科技示范需求；将办公、会议室等设施的必要建设当做“楼堂馆所”进行管控，无法满足现代化水利科研单位对办公及内外形象的需求。</w:t>
      </w:r>
    </w:p>
    <w:p>
      <w:pPr>
        <w:adjustRightInd w:val="0"/>
        <w:snapToGrid w:val="0"/>
        <w:spacing w:line="600" w:lineRule="exact"/>
        <w:ind w:firstLine="640" w:firstLineChars="200"/>
        <w:rPr>
          <w:rFonts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（二）相关建议</w:t>
      </w:r>
    </w:p>
    <w:p>
      <w:pPr>
        <w:adjustRightInd w:val="0"/>
        <w:snapToGrid w:val="0"/>
        <w:spacing w:line="600" w:lineRule="exact"/>
        <w:ind w:firstLine="640" w:firstLineChars="200"/>
        <w:rPr>
          <w:rFonts w:ascii="仿宋_GB2312" w:hAnsi="仿宋_GB2312" w:eastAsia="仿宋_GB2312" w:cs="仿宋_GB2312"/>
          <w:color w:val="auto"/>
          <w:sz w:val="32"/>
          <w:szCs w:val="32"/>
        </w:rPr>
      </w:pPr>
      <w:r>
        <w:rPr>
          <w:rFonts w:hint="eastAsia" w:ascii="仿宋_GB2312" w:hAnsi="宋体" w:eastAsia="仿宋_GB2312"/>
          <w:color w:val="auto"/>
          <w:sz w:val="32"/>
          <w:szCs w:val="32"/>
          <w:lang w:val="zh-CN"/>
        </w:rPr>
        <w:t>一是建议试验站作为公益一类的科研单位，所有建设资金由中央、省级财政资金予以解决。二是建议将试验站项目按照科研单位进行设计标准审查和建设投资控制审查。</w:t>
      </w:r>
    </w:p>
    <w:p>
      <w:pPr>
        <w:pStyle w:val="6"/>
        <w:numPr>
          <w:ilvl w:val="0"/>
          <w:numId w:val="0"/>
        </w:numPr>
        <w:ind w:leftChars="150"/>
        <w:rPr>
          <w:color w:val="auto"/>
        </w:rPr>
      </w:pPr>
    </w:p>
    <w:p>
      <w:pPr>
        <w:pStyle w:val="6"/>
        <w:rPr>
          <w:rFonts w:ascii="仿宋_GB2312" w:hAnsi="仿宋_GB2312" w:eastAsia="仿宋_GB2312" w:cs="仿宋_GB2312"/>
          <w:color w:val="auto"/>
          <w:sz w:val="32"/>
          <w:szCs w:val="32"/>
        </w:rPr>
      </w:pPr>
    </w:p>
    <w:p>
      <w:pPr>
        <w:pStyle w:val="6"/>
        <w:rPr>
          <w:rFonts w:ascii="仿宋_GB2312" w:hAnsi="仿宋_GB2312" w:eastAsia="仿宋_GB2312" w:cs="仿宋_GB2312"/>
          <w:color w:val="auto"/>
          <w:sz w:val="32"/>
          <w:szCs w:val="32"/>
        </w:rPr>
      </w:pPr>
    </w:p>
    <w:p>
      <w:pPr>
        <w:pStyle w:val="6"/>
        <w:rPr>
          <w:rFonts w:ascii="仿宋_GB2312" w:hAnsi="仿宋_GB2312" w:eastAsia="仿宋_GB2312" w:cs="仿宋_GB2312"/>
          <w:color w:val="auto"/>
          <w:sz w:val="32"/>
          <w:szCs w:val="32"/>
        </w:rPr>
      </w:pPr>
    </w:p>
    <w:p>
      <w:pPr>
        <w:spacing w:line="580" w:lineRule="exact"/>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r>
        <w:rPr>
          <w:rFonts w:hint="eastAsia" w:ascii="方正小标宋简体" w:hAnsi="宋体" w:eastAsia="方正小标宋简体" w:cs="Times New Roman"/>
          <w:color w:val="auto"/>
          <w:kern w:val="0"/>
          <w:sz w:val="44"/>
          <w:szCs w:val="44"/>
          <w:lang w:val="zh-CN" w:eastAsia="zh-CN" w:bidi="ar-SA"/>
        </w:rPr>
        <w:t>四川省都江堰人民渠第二管理处</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r>
        <w:rPr>
          <w:rFonts w:hint="eastAsia" w:ascii="方正小标宋简体" w:hAnsi="宋体" w:eastAsia="方正小标宋简体" w:cs="Times New Roman"/>
          <w:color w:val="auto"/>
          <w:kern w:val="0"/>
          <w:sz w:val="44"/>
          <w:szCs w:val="44"/>
          <w:lang w:val="zh-CN" w:eastAsia="zh-CN" w:bidi="ar-SA"/>
        </w:rPr>
        <w:t>2018年暴雨洪灾水利灾后恢复重建</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r>
        <w:rPr>
          <w:rFonts w:hint="eastAsia" w:ascii="方正小标宋简体" w:hAnsi="宋体" w:eastAsia="方正小标宋简体" w:cs="Times New Roman"/>
          <w:color w:val="auto"/>
          <w:kern w:val="0"/>
          <w:sz w:val="44"/>
          <w:szCs w:val="44"/>
          <w:lang w:val="zh-CN" w:eastAsia="zh-CN" w:bidi="ar-SA"/>
        </w:rPr>
        <w:t>项目</w:t>
      </w:r>
      <w:r>
        <w:rPr>
          <w:rFonts w:hint="eastAsia" w:ascii="方正小标宋简体" w:hAnsi="宋体" w:eastAsia="方正小标宋简体"/>
          <w:color w:val="auto"/>
          <w:kern w:val="0"/>
          <w:sz w:val="44"/>
          <w:szCs w:val="44"/>
          <w:lang w:val="zh-CN"/>
        </w:rPr>
        <w:t>支出</w:t>
      </w:r>
      <w:r>
        <w:rPr>
          <w:rFonts w:hint="eastAsia" w:ascii="方正小标宋简体" w:hAnsi="宋体" w:eastAsia="方正小标宋简体" w:cs="Times New Roman"/>
          <w:color w:val="auto"/>
          <w:kern w:val="0"/>
          <w:sz w:val="44"/>
          <w:szCs w:val="44"/>
          <w:lang w:val="zh-CN" w:eastAsia="zh-CN" w:bidi="ar-SA"/>
        </w:rPr>
        <w:t>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pStyle w:val="32"/>
        <w:ind w:left="0" w:leftChars="0" w:firstLine="640" w:firstLineChars="200"/>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CN" w:eastAsia="zh-CN" w:bidi="ar-SA"/>
        </w:rPr>
        <w:t>四川省水利厅于2019年1月2日发布《四川省水利厅关于做好2018年暴雨洪灾水利灾后恢复重建有关工作的通知》，通知要求“各单位要抓紧开展恢复重建项目前期工作，组织编制恢复重建项目初步设计方案，为下一步争取财政资金做好项目储备。本次方案暂不考虑发展提高要求，在达到规范规定最低防洪标准前提下，均不改变原建设标准；编制范围为《实施方案》内所列恢复重建项目，不含应急修复项目、已有资金渠道和已实施完成的项目；编制投资应不大于《实施方案》估算投资。”</w:t>
      </w:r>
    </w:p>
    <w:p>
      <w:pPr>
        <w:keepNext w:val="0"/>
        <w:keepLines w:val="0"/>
        <w:pageBreakBefore w:val="0"/>
        <w:numPr>
          <w:ilvl w:val="0"/>
          <w:numId w:val="6"/>
        </w:numPr>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项目资金申报及批复情况</w:t>
      </w:r>
    </w:p>
    <w:p>
      <w:pPr>
        <w:pStyle w:val="32"/>
        <w:ind w:left="0" w:leftChars="0" w:firstLine="640" w:firstLineChars="200"/>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四川省水利厅收悉《关于报送2018年暴雨洪灾水利灾后恢复重建初步设计报告的请示》(人二处(2019)70号)及相关资料后组织专家对该初步设计报告进行了审核,设计单位根据专家意见进行修改。2019年7月24日四川省水利厅以</w:t>
      </w:r>
      <w:r>
        <w:rPr>
          <w:rFonts w:hint="default" w:ascii="仿宋_GB2312" w:hAnsi="宋体" w:eastAsia="仿宋_GB2312" w:cs="Times New Roman"/>
          <w:color w:val="auto"/>
          <w:kern w:val="2"/>
          <w:sz w:val="32"/>
          <w:szCs w:val="32"/>
          <w:lang w:val="zh-CN" w:eastAsia="zh-CN" w:bidi="ar-SA"/>
        </w:rPr>
        <w:t>(川水函〔20</w:t>
      </w:r>
      <w:r>
        <w:rPr>
          <w:rFonts w:hint="eastAsia" w:ascii="仿宋_GB2312" w:hAnsi="宋体" w:eastAsia="仿宋_GB2312" w:cs="Times New Roman"/>
          <w:color w:val="auto"/>
          <w:kern w:val="2"/>
          <w:sz w:val="32"/>
          <w:szCs w:val="32"/>
          <w:lang w:val="en-US" w:eastAsia="zh-CN" w:bidi="ar-SA"/>
        </w:rPr>
        <w:t>19</w:t>
      </w:r>
      <w:r>
        <w:rPr>
          <w:rFonts w:hint="default"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en-US" w:eastAsia="zh-CN" w:bidi="ar-SA"/>
        </w:rPr>
        <w:t>888</w:t>
      </w:r>
      <w:r>
        <w:rPr>
          <w:rFonts w:hint="default" w:ascii="仿宋_GB2312" w:hAnsi="宋体" w:eastAsia="仿宋_GB2312" w:cs="Times New Roman"/>
          <w:color w:val="auto"/>
          <w:kern w:val="2"/>
          <w:sz w:val="32"/>
          <w:szCs w:val="32"/>
          <w:lang w:val="zh-CN" w:eastAsia="zh-CN" w:bidi="ar-SA"/>
        </w:rPr>
        <w:t>号),</w:t>
      </w:r>
      <w:r>
        <w:rPr>
          <w:rFonts w:hint="eastAsia" w:ascii="仿宋_GB2312" w:hAnsi="宋体" w:eastAsia="仿宋_GB2312" w:cs="Times New Roman"/>
          <w:color w:val="auto"/>
          <w:kern w:val="2"/>
          <w:sz w:val="32"/>
          <w:szCs w:val="32"/>
          <w:lang w:val="en-US" w:eastAsia="zh-CN" w:bidi="ar-SA"/>
        </w:rPr>
        <w:t>对人民渠第二管理处2018年暴雨洪灾灾后重建项目初步设计方案进行了批复。</w:t>
      </w:r>
    </w:p>
    <w:p>
      <w:pPr>
        <w:pStyle w:val="32"/>
        <w:ind w:left="0" w:leftChars="0" w:firstLine="640" w:firstLineChars="200"/>
        <w:rPr>
          <w:rFonts w:hint="default" w:ascii="仿宋_GB2312" w:hAnsi="宋体" w:eastAsia="仿宋_GB2312" w:cs="Times New Roman"/>
          <w:color w:val="auto"/>
          <w:kern w:val="2"/>
          <w:sz w:val="32"/>
          <w:szCs w:val="32"/>
          <w:lang w:val="en-US" w:eastAsia="zh-CN" w:bidi="ar-SA"/>
        </w:rPr>
      </w:pPr>
      <w:r>
        <w:rPr>
          <w:rFonts w:hint="default" w:ascii="仿宋_GB2312" w:hAnsi="宋体" w:eastAsia="仿宋_GB2312" w:cs="Times New Roman"/>
          <w:color w:val="auto"/>
          <w:kern w:val="2"/>
          <w:sz w:val="32"/>
          <w:szCs w:val="32"/>
          <w:lang w:val="zh-CN" w:eastAsia="zh-CN" w:bidi="ar-SA"/>
        </w:rPr>
        <w:t>20</w:t>
      </w:r>
      <w:r>
        <w:rPr>
          <w:rFonts w:hint="eastAsia" w:ascii="仿宋_GB2312" w:hAnsi="宋体" w:eastAsia="仿宋_GB2312" w:cs="Times New Roman"/>
          <w:color w:val="auto"/>
          <w:kern w:val="2"/>
          <w:sz w:val="32"/>
          <w:szCs w:val="32"/>
          <w:lang w:val="en-US" w:eastAsia="zh-CN" w:bidi="ar-SA"/>
        </w:rPr>
        <w:t>20</w:t>
      </w:r>
      <w:r>
        <w:rPr>
          <w:rFonts w:hint="default" w:ascii="仿宋_GB2312" w:hAnsi="宋体" w:eastAsia="仿宋_GB2312" w:cs="Times New Roman"/>
          <w:color w:val="auto"/>
          <w:kern w:val="2"/>
          <w:sz w:val="32"/>
          <w:szCs w:val="32"/>
          <w:lang w:val="zh-CN" w:eastAsia="zh-CN" w:bidi="ar-SA"/>
        </w:rPr>
        <w:t>年</w:t>
      </w:r>
      <w:r>
        <w:rPr>
          <w:rFonts w:hint="eastAsia" w:ascii="仿宋_GB2312" w:hAnsi="宋体" w:eastAsia="仿宋_GB2312" w:cs="Times New Roman"/>
          <w:color w:val="auto"/>
          <w:kern w:val="2"/>
          <w:sz w:val="32"/>
          <w:szCs w:val="32"/>
          <w:lang w:val="en-US" w:eastAsia="zh-CN" w:bidi="ar-SA"/>
        </w:rPr>
        <w:t>4</w:t>
      </w:r>
      <w:r>
        <w:rPr>
          <w:rFonts w:hint="default" w:ascii="仿宋_GB2312" w:hAnsi="宋体" w:eastAsia="仿宋_GB2312" w:cs="Times New Roman"/>
          <w:color w:val="auto"/>
          <w:kern w:val="2"/>
          <w:sz w:val="32"/>
          <w:szCs w:val="32"/>
          <w:lang w:val="zh-CN" w:eastAsia="zh-CN" w:bidi="ar-SA"/>
        </w:rPr>
        <w:t>月</w:t>
      </w:r>
      <w:r>
        <w:rPr>
          <w:rFonts w:hint="eastAsia" w:ascii="仿宋_GB2312" w:hAnsi="宋体" w:eastAsia="仿宋_GB2312" w:cs="Times New Roman"/>
          <w:color w:val="auto"/>
          <w:kern w:val="2"/>
          <w:sz w:val="32"/>
          <w:szCs w:val="32"/>
          <w:lang w:val="en-US" w:eastAsia="zh-CN" w:bidi="ar-SA"/>
        </w:rPr>
        <w:t>10</w:t>
      </w:r>
      <w:r>
        <w:rPr>
          <w:rFonts w:hint="default" w:ascii="仿宋_GB2312" w:hAnsi="宋体" w:eastAsia="仿宋_GB2312" w:cs="Times New Roman"/>
          <w:color w:val="auto"/>
          <w:kern w:val="2"/>
          <w:sz w:val="32"/>
          <w:szCs w:val="32"/>
          <w:lang w:val="zh-CN" w:eastAsia="zh-CN" w:bidi="ar-SA"/>
        </w:rPr>
        <w:t>日，财政厅、水利厅联合印发《</w:t>
      </w:r>
      <w:r>
        <w:rPr>
          <w:rFonts w:hint="eastAsia" w:ascii="仿宋_GB2312" w:hAnsi="宋体" w:eastAsia="仿宋_GB2312" w:cs="Times New Roman"/>
          <w:color w:val="auto"/>
          <w:kern w:val="2"/>
          <w:sz w:val="32"/>
          <w:szCs w:val="32"/>
          <w:lang w:val="en-US" w:eastAsia="zh-CN" w:bidi="ar-SA"/>
        </w:rPr>
        <w:t>四川省财政厅  四川省水利厅关于下达2020年省级水利发展资金的通知</w:t>
      </w:r>
      <w:r>
        <w:rPr>
          <w:rFonts w:hint="default" w:ascii="仿宋_GB2312" w:hAnsi="宋体" w:eastAsia="仿宋_GB2312" w:cs="Times New Roman"/>
          <w:color w:val="auto"/>
          <w:kern w:val="2"/>
          <w:sz w:val="32"/>
          <w:szCs w:val="32"/>
          <w:lang w:val="zh-CN" w:eastAsia="zh-CN" w:bidi="ar-SA"/>
        </w:rPr>
        <w:t>》（川财</w:t>
      </w:r>
      <w:r>
        <w:rPr>
          <w:rFonts w:hint="eastAsia" w:ascii="仿宋_GB2312" w:hAnsi="宋体" w:eastAsia="仿宋_GB2312" w:cs="Times New Roman"/>
          <w:color w:val="auto"/>
          <w:kern w:val="2"/>
          <w:sz w:val="32"/>
          <w:szCs w:val="32"/>
          <w:lang w:val="en-US" w:eastAsia="zh-CN" w:bidi="ar-SA"/>
        </w:rPr>
        <w:t>农</w:t>
      </w:r>
      <w:r>
        <w:rPr>
          <w:rFonts w:hint="default" w:ascii="仿宋_GB2312" w:hAnsi="宋体" w:eastAsia="仿宋_GB2312" w:cs="Times New Roman"/>
          <w:color w:val="auto"/>
          <w:kern w:val="2"/>
          <w:sz w:val="32"/>
          <w:szCs w:val="32"/>
          <w:lang w:val="zh-CN" w:eastAsia="zh-CN" w:bidi="ar-SA"/>
        </w:rPr>
        <w:t>〔20</w:t>
      </w:r>
      <w:r>
        <w:rPr>
          <w:rFonts w:hint="eastAsia" w:ascii="仿宋_GB2312" w:hAnsi="宋体" w:eastAsia="仿宋_GB2312" w:cs="Times New Roman"/>
          <w:color w:val="auto"/>
          <w:kern w:val="2"/>
          <w:sz w:val="32"/>
          <w:szCs w:val="32"/>
          <w:lang w:val="en-US" w:eastAsia="zh-CN" w:bidi="ar-SA"/>
        </w:rPr>
        <w:t>20</w:t>
      </w:r>
      <w:r>
        <w:rPr>
          <w:rFonts w:hint="default"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en-US" w:eastAsia="zh-CN" w:bidi="ar-SA"/>
        </w:rPr>
        <w:t>40</w:t>
      </w:r>
      <w:r>
        <w:rPr>
          <w:rFonts w:hint="default" w:ascii="仿宋_GB2312" w:hAnsi="宋体" w:eastAsia="仿宋_GB2312" w:cs="Times New Roman"/>
          <w:color w:val="auto"/>
          <w:kern w:val="2"/>
          <w:sz w:val="32"/>
          <w:szCs w:val="32"/>
          <w:lang w:val="zh-CN" w:eastAsia="zh-CN" w:bidi="ar-SA"/>
        </w:rPr>
        <w:t>号）。为做好水毁修复,提高安全度汛能力,根据《四川省水利厅关于请予下达第一批2020年省级水利发展资金中预留的应急抢险资金的函》(川水函〔2020〕349号),报经省政府领导同意,现一次性下达你单位2020年省级水利发展资金600</w:t>
      </w:r>
      <w:r>
        <w:rPr>
          <w:rFonts w:hint="eastAsia" w:ascii="仿宋_GB2312" w:hAnsi="宋体" w:eastAsia="仿宋_GB2312" w:cs="Times New Roman"/>
          <w:color w:val="auto"/>
          <w:kern w:val="2"/>
          <w:sz w:val="32"/>
          <w:szCs w:val="32"/>
          <w:lang w:val="en-US" w:eastAsia="zh-CN" w:bidi="ar-SA"/>
        </w:rPr>
        <w:t>0</w:t>
      </w:r>
      <w:r>
        <w:rPr>
          <w:rFonts w:hint="default" w:ascii="仿宋_GB2312" w:hAnsi="宋体" w:eastAsia="仿宋_GB2312" w:cs="Times New Roman"/>
          <w:color w:val="auto"/>
          <w:kern w:val="2"/>
          <w:sz w:val="32"/>
          <w:szCs w:val="32"/>
          <w:lang w:val="zh-CN" w:eastAsia="zh-CN" w:bidi="ar-SA"/>
        </w:rPr>
        <w:t>万元,用于重点省级大型水管单位重大水毁修复和水文基础设施水毁修复。</w:t>
      </w:r>
      <w:r>
        <w:rPr>
          <w:rFonts w:hint="eastAsia" w:ascii="仿宋_GB2312" w:hAnsi="宋体" w:eastAsia="仿宋_GB2312" w:cs="Times New Roman"/>
          <w:color w:val="auto"/>
          <w:kern w:val="2"/>
          <w:sz w:val="32"/>
          <w:szCs w:val="32"/>
          <w:lang w:val="en-US" w:eastAsia="zh-CN" w:bidi="ar-SA"/>
        </w:rPr>
        <w:t>根据2020年省级水利发展资金分配表，四川省都江堰人民渠第二管理处下达补助资金2595万元用于水毁修复。整治修复水利工程22处。</w:t>
      </w:r>
    </w:p>
    <w:p>
      <w:pPr>
        <w:keepNext w:val="0"/>
        <w:keepLines w:val="0"/>
        <w:pageBreakBefore w:val="0"/>
        <w:numPr>
          <w:ilvl w:val="0"/>
          <w:numId w:val="6"/>
        </w:numPr>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项目绩效目标</w:t>
      </w:r>
    </w:p>
    <w:p>
      <w:pPr>
        <w:pStyle w:val="32"/>
        <w:ind w:left="0" w:leftChars="0" w:firstLine="640" w:firstLineChars="200"/>
        <w:rPr>
          <w:rFonts w:ascii="仿宋_GB2312" w:hAnsi="宋体" w:eastAsia="仿宋_GB2312"/>
          <w:color w:val="auto"/>
          <w:sz w:val="32"/>
          <w:szCs w:val="32"/>
          <w:lang w:val="zh-CN"/>
        </w:rPr>
      </w:pPr>
      <w:r>
        <w:rPr>
          <w:rFonts w:hint="default" w:ascii="仿宋_GB2312" w:hAnsi="宋体" w:eastAsia="仿宋_GB2312" w:cs="Times New Roman"/>
          <w:color w:val="auto"/>
          <w:kern w:val="2"/>
          <w:sz w:val="32"/>
          <w:szCs w:val="32"/>
          <w:lang w:val="zh-CN" w:eastAsia="zh-CN" w:bidi="ar-SA"/>
        </w:rPr>
        <w:t>2020年</w:t>
      </w:r>
      <w:r>
        <w:rPr>
          <w:rFonts w:hint="eastAsia" w:ascii="仿宋_GB2312" w:hAnsi="宋体" w:eastAsia="仿宋_GB2312" w:cs="Times New Roman"/>
          <w:color w:val="auto"/>
          <w:kern w:val="2"/>
          <w:sz w:val="32"/>
          <w:szCs w:val="32"/>
          <w:lang w:val="en-US" w:eastAsia="zh-CN" w:bidi="ar-SA"/>
        </w:rPr>
        <w:t>底</w:t>
      </w:r>
      <w:r>
        <w:rPr>
          <w:rFonts w:hint="default" w:ascii="仿宋_GB2312" w:hAnsi="宋体" w:eastAsia="仿宋_GB2312" w:cs="Times New Roman"/>
          <w:color w:val="auto"/>
          <w:kern w:val="2"/>
          <w:sz w:val="32"/>
          <w:szCs w:val="32"/>
          <w:lang w:val="zh-CN" w:eastAsia="zh-CN" w:bidi="ar-SA"/>
        </w:rPr>
        <w:t>完成省级</w:t>
      </w:r>
      <w:r>
        <w:rPr>
          <w:rFonts w:hint="eastAsia" w:ascii="仿宋_GB2312" w:hAnsi="宋体" w:eastAsia="仿宋_GB2312" w:cs="Times New Roman"/>
          <w:color w:val="auto"/>
          <w:kern w:val="2"/>
          <w:sz w:val="32"/>
          <w:szCs w:val="32"/>
          <w:lang w:val="en-US" w:eastAsia="zh-CN" w:bidi="ar-SA"/>
        </w:rPr>
        <w:t>补助</w:t>
      </w:r>
      <w:r>
        <w:rPr>
          <w:rFonts w:hint="default" w:ascii="仿宋_GB2312" w:hAnsi="宋体" w:eastAsia="仿宋_GB2312" w:cs="Times New Roman"/>
          <w:color w:val="auto"/>
          <w:kern w:val="2"/>
          <w:sz w:val="32"/>
          <w:szCs w:val="32"/>
          <w:lang w:val="zh-CN" w:eastAsia="zh-CN" w:bidi="ar-SA"/>
        </w:rPr>
        <w:t>资金</w:t>
      </w:r>
      <w:r>
        <w:rPr>
          <w:rFonts w:hint="eastAsia" w:ascii="仿宋_GB2312" w:hAnsi="宋体" w:eastAsia="仿宋_GB2312" w:cs="Times New Roman"/>
          <w:color w:val="auto"/>
          <w:kern w:val="2"/>
          <w:sz w:val="32"/>
          <w:szCs w:val="32"/>
          <w:lang w:val="en-US" w:eastAsia="zh-CN" w:bidi="ar-SA"/>
        </w:rPr>
        <w:t>2595</w:t>
      </w:r>
      <w:r>
        <w:rPr>
          <w:rFonts w:hint="default" w:ascii="仿宋_GB2312" w:hAnsi="宋体" w:eastAsia="仿宋_GB2312" w:cs="Times New Roman"/>
          <w:color w:val="auto"/>
          <w:kern w:val="2"/>
          <w:sz w:val="32"/>
          <w:szCs w:val="32"/>
          <w:lang w:val="zh-CN" w:eastAsia="zh-CN" w:bidi="ar-SA"/>
        </w:rPr>
        <w:t>万元，</w:t>
      </w:r>
      <w:r>
        <w:rPr>
          <w:rFonts w:hint="eastAsia" w:ascii="仿宋_GB2312" w:hAnsi="宋体" w:eastAsia="仿宋_GB2312" w:cs="Times New Roman"/>
          <w:color w:val="auto"/>
          <w:kern w:val="2"/>
          <w:sz w:val="32"/>
          <w:szCs w:val="32"/>
          <w:lang w:val="en-US" w:eastAsia="zh-CN" w:bidi="ar-SA"/>
        </w:rPr>
        <w:t>整治修复水利工程22处。整治内容包括：1、整治明渠改箱涵8处,整治明渠1处；2、整治节制闸2座；3、整治泄洪渠2处；4、整治防洪抢险道路9处。各项指标</w:t>
      </w:r>
      <w:r>
        <w:rPr>
          <w:rFonts w:hint="default" w:ascii="仿宋_GB2312" w:hAnsi="宋体" w:eastAsia="仿宋_GB2312" w:cs="Times New Roman"/>
          <w:color w:val="auto"/>
          <w:kern w:val="2"/>
          <w:sz w:val="32"/>
          <w:szCs w:val="32"/>
          <w:lang w:val="zh-CN" w:eastAsia="zh-CN" w:bidi="ar-SA"/>
        </w:rPr>
        <w:t>均完成年度绩效目标。</w:t>
      </w:r>
      <w:r>
        <w:rPr>
          <w:rFonts w:hint="eastAsia" w:ascii="仿宋_GB2312" w:hAnsi="宋体" w:eastAsia="仿宋_GB2312" w:cs="Times New Roman"/>
          <w:color w:val="auto"/>
          <w:kern w:val="2"/>
          <w:sz w:val="32"/>
          <w:szCs w:val="32"/>
          <w:lang w:val="en-US" w:eastAsia="zh-CN" w:bidi="ar-SA"/>
        </w:rPr>
        <w:t>1.</w:t>
      </w:r>
      <w:r>
        <w:rPr>
          <w:rFonts w:hint="default" w:ascii="仿宋_GB2312" w:hAnsi="宋体" w:eastAsia="仿宋_GB2312" w:cs="Times New Roman"/>
          <w:color w:val="auto"/>
          <w:kern w:val="2"/>
          <w:sz w:val="32"/>
          <w:szCs w:val="32"/>
          <w:lang w:val="zh-CN" w:eastAsia="zh-CN" w:bidi="ar-SA"/>
        </w:rPr>
        <w:t>数量指标</w:t>
      </w:r>
      <w:r>
        <w:rPr>
          <w:rFonts w:hint="eastAsia"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en-US" w:eastAsia="zh-CN" w:bidi="ar-SA"/>
        </w:rPr>
        <w:t>完成全部整治修复内容。2.</w:t>
      </w:r>
      <w:r>
        <w:rPr>
          <w:rFonts w:hint="default" w:ascii="仿宋_GB2312" w:hAnsi="宋体" w:eastAsia="仿宋_GB2312" w:cs="Times New Roman"/>
          <w:color w:val="auto"/>
          <w:kern w:val="2"/>
          <w:sz w:val="32"/>
          <w:szCs w:val="32"/>
          <w:lang w:val="en-US" w:eastAsia="zh-CN" w:bidi="ar-SA"/>
        </w:rPr>
        <w:t>质量指标</w:t>
      </w:r>
      <w:r>
        <w:rPr>
          <w:rFonts w:hint="eastAsia" w:ascii="仿宋_GB2312" w:hAnsi="宋体" w:eastAsia="仿宋_GB2312" w:cs="Times New Roman"/>
          <w:color w:val="auto"/>
          <w:kern w:val="2"/>
          <w:sz w:val="32"/>
          <w:szCs w:val="32"/>
          <w:lang w:val="en-US" w:eastAsia="zh-CN" w:bidi="ar-SA"/>
        </w:rPr>
        <w:t>：截止</w:t>
      </w:r>
      <w:r>
        <w:rPr>
          <w:rFonts w:hint="default" w:ascii="仿宋_GB2312" w:hAnsi="宋体" w:eastAsia="仿宋_GB2312" w:cs="Times New Roman"/>
          <w:color w:val="auto"/>
          <w:kern w:val="2"/>
          <w:sz w:val="32"/>
          <w:szCs w:val="32"/>
          <w:lang w:val="zh-CN" w:eastAsia="zh-CN" w:bidi="ar-SA"/>
        </w:rPr>
        <w:t>2020年</w:t>
      </w:r>
      <w:r>
        <w:rPr>
          <w:rFonts w:hint="eastAsia" w:ascii="仿宋_GB2312" w:hAnsi="宋体" w:eastAsia="仿宋_GB2312" w:cs="Times New Roman"/>
          <w:color w:val="auto"/>
          <w:kern w:val="2"/>
          <w:sz w:val="32"/>
          <w:szCs w:val="32"/>
          <w:lang w:val="en-US" w:eastAsia="zh-CN" w:bidi="ar-SA"/>
        </w:rPr>
        <w:t>底，完工项目验收初步验收率100%</w:t>
      </w:r>
      <w:r>
        <w:rPr>
          <w:rFonts w:hint="default"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en-US" w:eastAsia="zh-CN" w:bidi="ar-SA"/>
        </w:rPr>
        <w:t>工程验收合格率100%，已建工程不存在质量问题。3.</w:t>
      </w:r>
      <w:r>
        <w:rPr>
          <w:rFonts w:hint="default" w:ascii="仿宋_GB2312" w:hAnsi="宋体" w:eastAsia="仿宋_GB2312" w:cs="Times New Roman"/>
          <w:color w:val="auto"/>
          <w:kern w:val="2"/>
          <w:sz w:val="32"/>
          <w:szCs w:val="32"/>
          <w:lang w:val="en-US" w:eastAsia="zh-CN" w:bidi="ar-SA"/>
        </w:rPr>
        <w:t>时效指标</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zh-CN" w:eastAsia="zh-CN" w:bidi="ar-SA"/>
        </w:rPr>
        <w:t>当年完成投资省级</w:t>
      </w:r>
      <w:r>
        <w:rPr>
          <w:rFonts w:hint="eastAsia" w:ascii="仿宋_GB2312" w:hAnsi="宋体" w:eastAsia="仿宋_GB2312" w:cs="Times New Roman"/>
          <w:color w:val="auto"/>
          <w:kern w:val="2"/>
          <w:sz w:val="32"/>
          <w:szCs w:val="32"/>
          <w:lang w:val="en-US" w:eastAsia="zh-CN" w:bidi="ar-SA"/>
        </w:rPr>
        <w:t>补助</w:t>
      </w:r>
      <w:r>
        <w:rPr>
          <w:rFonts w:hint="default" w:ascii="仿宋_GB2312" w:hAnsi="宋体" w:eastAsia="仿宋_GB2312" w:cs="Times New Roman"/>
          <w:color w:val="auto"/>
          <w:kern w:val="2"/>
          <w:sz w:val="32"/>
          <w:szCs w:val="32"/>
          <w:lang w:val="zh-CN" w:eastAsia="zh-CN" w:bidi="ar-SA"/>
        </w:rPr>
        <w:t>资金均达到年度投资的</w:t>
      </w:r>
      <w:r>
        <w:rPr>
          <w:rFonts w:hint="eastAsia" w:ascii="仿宋_GB2312" w:hAnsi="宋体" w:eastAsia="仿宋_GB2312" w:cs="Times New Roman"/>
          <w:color w:val="auto"/>
          <w:kern w:val="2"/>
          <w:sz w:val="32"/>
          <w:szCs w:val="32"/>
          <w:lang w:val="en-US" w:eastAsia="zh-CN" w:bidi="ar-SA"/>
        </w:rPr>
        <w:t>10</w:t>
      </w:r>
      <w:r>
        <w:rPr>
          <w:rFonts w:hint="default" w:ascii="仿宋_GB2312" w:hAnsi="宋体" w:eastAsia="仿宋_GB2312" w:cs="Times New Roman"/>
          <w:color w:val="auto"/>
          <w:kern w:val="2"/>
          <w:sz w:val="32"/>
          <w:szCs w:val="32"/>
          <w:lang w:val="zh-CN" w:eastAsia="zh-CN" w:bidi="ar-SA"/>
        </w:rPr>
        <w:t>0%，并根据工程进度按时拨款。</w:t>
      </w:r>
      <w:r>
        <w:rPr>
          <w:rFonts w:hint="eastAsia" w:ascii="仿宋_GB2312" w:hAnsi="宋体" w:eastAsia="仿宋_GB2312" w:cs="Times New Roman"/>
          <w:color w:val="auto"/>
          <w:kern w:val="2"/>
          <w:sz w:val="32"/>
          <w:szCs w:val="32"/>
          <w:lang w:val="en-US" w:eastAsia="zh-CN" w:bidi="ar-SA"/>
        </w:rPr>
        <w:t>4.</w:t>
      </w:r>
      <w:r>
        <w:rPr>
          <w:rFonts w:hint="default" w:ascii="仿宋_GB2312" w:hAnsi="宋体" w:eastAsia="仿宋_GB2312" w:cs="Times New Roman"/>
          <w:color w:val="auto"/>
          <w:kern w:val="2"/>
          <w:sz w:val="32"/>
          <w:szCs w:val="32"/>
          <w:lang w:val="en-US" w:eastAsia="zh-CN" w:bidi="ar-SA"/>
        </w:rPr>
        <w:t>经济效益指标</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en-US" w:eastAsia="zh-CN" w:bidi="ar-SA"/>
        </w:rPr>
        <w:t>新增供水能力</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en-US" w:eastAsia="zh-CN" w:bidi="ar-SA"/>
        </w:rPr>
        <w:t>恢复灌溉面积</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en-US" w:eastAsia="zh-CN" w:bidi="ar-SA"/>
        </w:rPr>
        <w:t>新增粮食综合生产能力</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en-US" w:eastAsia="zh-CN" w:bidi="ar-SA"/>
        </w:rPr>
        <w:t>保护耕地面积</w:t>
      </w:r>
      <w:r>
        <w:rPr>
          <w:rFonts w:hint="eastAsia" w:ascii="仿宋_GB2312" w:hAnsi="宋体" w:eastAsia="仿宋_GB2312" w:cs="Times New Roman"/>
          <w:color w:val="auto"/>
          <w:kern w:val="2"/>
          <w:sz w:val="32"/>
          <w:szCs w:val="32"/>
          <w:lang w:val="en-US" w:eastAsia="zh-CN" w:bidi="ar-SA"/>
        </w:rPr>
        <w:t>指标均达到2020年省级水利发展资金绩效目标情况表的全部指标。5.</w:t>
      </w:r>
      <w:r>
        <w:rPr>
          <w:rFonts w:hint="default" w:ascii="仿宋_GB2312" w:hAnsi="宋体" w:eastAsia="仿宋_GB2312" w:cs="Times New Roman"/>
          <w:color w:val="auto"/>
          <w:kern w:val="2"/>
          <w:sz w:val="32"/>
          <w:szCs w:val="32"/>
          <w:lang w:val="en-US" w:eastAsia="zh-CN" w:bidi="ar-SA"/>
        </w:rPr>
        <w:t>社会效益指标。</w:t>
      </w:r>
      <w:r>
        <w:rPr>
          <w:rFonts w:hint="eastAsia" w:ascii="仿宋_GB2312" w:hAnsi="宋体" w:eastAsia="仿宋_GB2312" w:cs="Times New Roman"/>
          <w:color w:val="auto"/>
          <w:kern w:val="2"/>
          <w:sz w:val="32"/>
          <w:szCs w:val="32"/>
          <w:lang w:val="en-US" w:eastAsia="zh-CN" w:bidi="ar-SA"/>
        </w:rPr>
        <w:t>发生</w:t>
      </w:r>
      <w:r>
        <w:rPr>
          <w:rFonts w:hint="default" w:ascii="仿宋_GB2312" w:hAnsi="宋体" w:eastAsia="仿宋_GB2312" w:cs="Times New Roman"/>
          <w:color w:val="auto"/>
          <w:kern w:val="2"/>
          <w:sz w:val="32"/>
          <w:szCs w:val="32"/>
          <w:lang w:val="en-US" w:eastAsia="zh-CN" w:bidi="ar-SA"/>
        </w:rPr>
        <w:t>工程设计标准内洪水</w:t>
      </w:r>
      <w:r>
        <w:rPr>
          <w:rFonts w:hint="eastAsia" w:ascii="仿宋_GB2312" w:hAnsi="宋体" w:eastAsia="仿宋_GB2312" w:cs="Times New Roman"/>
          <w:color w:val="auto"/>
          <w:kern w:val="2"/>
          <w:sz w:val="32"/>
          <w:szCs w:val="32"/>
          <w:lang w:val="en-US" w:eastAsia="zh-CN" w:bidi="ar-SA"/>
        </w:rPr>
        <w:t>是否</w:t>
      </w:r>
      <w:r>
        <w:rPr>
          <w:rFonts w:hint="default" w:ascii="仿宋_GB2312" w:hAnsi="宋体" w:eastAsia="仿宋_GB2312" w:cs="Times New Roman"/>
          <w:color w:val="auto"/>
          <w:kern w:val="2"/>
          <w:sz w:val="32"/>
          <w:szCs w:val="32"/>
          <w:lang w:val="en-US" w:eastAsia="zh-CN" w:bidi="ar-SA"/>
        </w:rPr>
        <w:t>受严重影</w:t>
      </w:r>
      <w:r>
        <w:rPr>
          <w:rFonts w:hint="eastAsia" w:ascii="仿宋_GB2312" w:hAnsi="宋体" w:eastAsia="仿宋_GB2312" w:cs="Times New Roman"/>
          <w:color w:val="auto"/>
          <w:kern w:val="2"/>
          <w:sz w:val="32"/>
          <w:szCs w:val="32"/>
          <w:lang w:val="en-US" w:eastAsia="zh-CN" w:bidi="ar-SA"/>
        </w:rPr>
        <w:t>响。6.</w:t>
      </w:r>
      <w:r>
        <w:rPr>
          <w:rFonts w:hint="default" w:ascii="仿宋_GB2312" w:hAnsi="宋体" w:eastAsia="仿宋_GB2312" w:cs="Times New Roman"/>
          <w:color w:val="auto"/>
          <w:kern w:val="2"/>
          <w:sz w:val="32"/>
          <w:szCs w:val="32"/>
          <w:lang w:val="en-US" w:eastAsia="zh-CN" w:bidi="ar-SA"/>
        </w:rPr>
        <w:t>生态效益指标</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en-US" w:eastAsia="zh-CN" w:bidi="ar-SA"/>
        </w:rPr>
        <w:t>新增年节水能力</w:t>
      </w:r>
      <w:r>
        <w:rPr>
          <w:rFonts w:hint="eastAsia" w:ascii="仿宋_GB2312" w:hAnsi="宋体" w:eastAsia="仿宋_GB2312" w:cs="Times New Roman"/>
          <w:color w:val="auto"/>
          <w:kern w:val="2"/>
          <w:sz w:val="32"/>
          <w:szCs w:val="32"/>
          <w:lang w:val="en-US" w:eastAsia="zh-CN" w:bidi="ar-SA"/>
        </w:rPr>
        <w:t>达到2020年省级水利发展资金绩效目标情况表的指标数据</w:t>
      </w:r>
      <w:r>
        <w:rPr>
          <w:rFonts w:hint="default" w:ascii="仿宋_GB2312" w:hAnsi="宋体" w:eastAsia="仿宋_GB2312" w:cs="Times New Roman"/>
          <w:color w:val="auto"/>
          <w:kern w:val="2"/>
          <w:sz w:val="32"/>
          <w:szCs w:val="32"/>
          <w:lang w:val="en-US" w:eastAsia="zh-CN" w:bidi="ar-SA"/>
        </w:rPr>
        <w:t>。</w:t>
      </w:r>
      <w:r>
        <w:rPr>
          <w:rFonts w:hint="eastAsia" w:ascii="仿宋_GB2312" w:hAnsi="宋体" w:eastAsia="仿宋_GB2312" w:cs="Times New Roman"/>
          <w:color w:val="auto"/>
          <w:kern w:val="2"/>
          <w:sz w:val="32"/>
          <w:szCs w:val="32"/>
          <w:lang w:val="en-US" w:eastAsia="zh-CN" w:bidi="ar-SA"/>
        </w:rPr>
        <w:t>7.</w:t>
      </w:r>
      <w:r>
        <w:rPr>
          <w:rFonts w:hint="default" w:ascii="仿宋_GB2312" w:hAnsi="宋体" w:eastAsia="仿宋_GB2312" w:cs="Times New Roman"/>
          <w:color w:val="auto"/>
          <w:kern w:val="2"/>
          <w:sz w:val="32"/>
          <w:szCs w:val="32"/>
          <w:lang w:val="en-US" w:eastAsia="zh-CN" w:bidi="ar-SA"/>
        </w:rPr>
        <w:t>可持续影响指标</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en-US" w:eastAsia="zh-CN" w:bidi="ar-SA"/>
        </w:rPr>
        <w:t>已建工程</w:t>
      </w:r>
      <w:r>
        <w:rPr>
          <w:rFonts w:hint="eastAsia" w:ascii="仿宋_GB2312" w:hAnsi="宋体" w:eastAsia="仿宋_GB2312" w:cs="Times New Roman"/>
          <w:color w:val="auto"/>
          <w:kern w:val="2"/>
          <w:sz w:val="32"/>
          <w:szCs w:val="32"/>
          <w:lang w:val="en-US" w:eastAsia="zh-CN" w:bidi="ar-SA"/>
        </w:rPr>
        <w:t>是否</w:t>
      </w:r>
      <w:r>
        <w:rPr>
          <w:rFonts w:hint="default" w:ascii="仿宋_GB2312" w:hAnsi="宋体" w:eastAsia="仿宋_GB2312" w:cs="Times New Roman"/>
          <w:color w:val="auto"/>
          <w:kern w:val="2"/>
          <w:sz w:val="32"/>
          <w:szCs w:val="32"/>
          <w:lang w:val="en-US" w:eastAsia="zh-CN" w:bidi="ar-SA"/>
        </w:rPr>
        <w:t>良性运行</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en-US" w:eastAsia="zh-CN" w:bidi="ar-SA"/>
        </w:rPr>
        <w:t>服务对象满意度指标</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en-US" w:eastAsia="zh-CN" w:bidi="ar-SA"/>
        </w:rPr>
        <w:t>群众满意度达9</w:t>
      </w:r>
      <w:r>
        <w:rPr>
          <w:rFonts w:hint="eastAsia" w:ascii="仿宋_GB2312" w:hAnsi="宋体" w:eastAsia="仿宋_GB2312" w:cs="Times New Roman"/>
          <w:color w:val="auto"/>
          <w:kern w:val="2"/>
          <w:sz w:val="32"/>
          <w:szCs w:val="32"/>
          <w:lang w:val="en-US" w:eastAsia="zh-CN" w:bidi="ar-SA"/>
        </w:rPr>
        <w:t>0</w:t>
      </w:r>
      <w:r>
        <w:rPr>
          <w:rFonts w:hint="default" w:ascii="仿宋_GB2312" w:hAnsi="宋体" w:eastAsia="仿宋_GB2312" w:cs="Times New Roman"/>
          <w:color w:val="auto"/>
          <w:kern w:val="2"/>
          <w:sz w:val="32"/>
          <w:szCs w:val="32"/>
          <w:lang w:val="en-US" w:eastAsia="zh-CN" w:bidi="ar-SA"/>
        </w:rPr>
        <w:t>%及以上。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olor w:val="auto"/>
          <w:sz w:val="32"/>
          <w:szCs w:val="32"/>
          <w:lang w:eastAsia="zh-CN"/>
        </w:rPr>
      </w:pPr>
      <w:r>
        <w:rPr>
          <w:rFonts w:hint="eastAsia" w:ascii="黑体" w:hAnsi="宋体" w:eastAsia="黑体"/>
          <w:color w:val="auto"/>
          <w:sz w:val="32"/>
          <w:szCs w:val="32"/>
        </w:rPr>
        <w:t>二、项目实施及管理情况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val="0"/>
          <w:color w:val="auto"/>
          <w:sz w:val="32"/>
          <w:szCs w:val="32"/>
          <w:lang w:val="zh-CN"/>
        </w:rPr>
      </w:pPr>
      <w:r>
        <w:rPr>
          <w:rFonts w:hint="eastAsia" w:ascii="仿宋_GB2312" w:hAnsi="宋体" w:eastAsia="仿宋_GB2312"/>
          <w:b w:val="0"/>
          <w:bCs w:val="0"/>
          <w:color w:val="auto"/>
          <w:sz w:val="32"/>
          <w:szCs w:val="32"/>
          <w:lang w:val="zh-CN"/>
        </w:rPr>
        <w:tab/>
      </w:r>
      <w:r>
        <w:rPr>
          <w:rFonts w:hint="eastAsia" w:ascii="楷体_GB2312" w:hAnsi="宋体" w:eastAsia="楷体_GB2312"/>
          <w:b w:val="0"/>
          <w:bCs w:val="0"/>
          <w:color w:val="auto"/>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olor w:val="auto"/>
          <w:sz w:val="32"/>
          <w:szCs w:val="32"/>
          <w:lang w:val="zh-CN"/>
        </w:rPr>
      </w:pPr>
      <w:r>
        <w:rPr>
          <w:rFonts w:hint="eastAsia" w:ascii="仿宋" w:hAnsi="仿宋" w:eastAsia="仿宋" w:cs="仿宋"/>
          <w:b/>
          <w:bCs/>
          <w:color w:val="auto"/>
          <w:sz w:val="32"/>
          <w:szCs w:val="32"/>
          <w:lang w:val="zh-CN"/>
        </w:rPr>
        <w:t>1．资金计划及到位。</w:t>
      </w:r>
      <w:r>
        <w:rPr>
          <w:rFonts w:hint="default" w:ascii="仿宋_GB2312" w:hAnsi="宋体" w:eastAsia="仿宋_GB2312" w:cs="Times New Roman"/>
          <w:color w:val="auto"/>
          <w:kern w:val="2"/>
          <w:sz w:val="32"/>
          <w:szCs w:val="32"/>
          <w:lang w:val="zh-CN" w:eastAsia="zh-CN" w:bidi="ar-SA"/>
        </w:rPr>
        <w:t>20</w:t>
      </w:r>
      <w:r>
        <w:rPr>
          <w:rFonts w:hint="eastAsia" w:ascii="仿宋_GB2312" w:hAnsi="宋体" w:eastAsia="仿宋_GB2312" w:cs="Times New Roman"/>
          <w:color w:val="auto"/>
          <w:kern w:val="2"/>
          <w:sz w:val="32"/>
          <w:szCs w:val="32"/>
          <w:lang w:val="en-US" w:eastAsia="zh-CN" w:bidi="ar-SA"/>
        </w:rPr>
        <w:t>20</w:t>
      </w:r>
      <w:r>
        <w:rPr>
          <w:rFonts w:hint="default" w:ascii="仿宋_GB2312" w:hAnsi="宋体" w:eastAsia="仿宋_GB2312" w:cs="Times New Roman"/>
          <w:color w:val="auto"/>
          <w:kern w:val="2"/>
          <w:sz w:val="32"/>
          <w:szCs w:val="32"/>
          <w:lang w:val="zh-CN" w:eastAsia="zh-CN" w:bidi="ar-SA"/>
        </w:rPr>
        <w:t>年</w:t>
      </w:r>
      <w:r>
        <w:rPr>
          <w:rFonts w:hint="eastAsia" w:ascii="仿宋_GB2312" w:hAnsi="宋体" w:eastAsia="仿宋_GB2312" w:cs="Times New Roman"/>
          <w:color w:val="auto"/>
          <w:kern w:val="2"/>
          <w:sz w:val="32"/>
          <w:szCs w:val="32"/>
          <w:lang w:val="en-US" w:eastAsia="zh-CN" w:bidi="ar-SA"/>
        </w:rPr>
        <w:t>4</w:t>
      </w:r>
      <w:r>
        <w:rPr>
          <w:rFonts w:hint="default" w:ascii="仿宋_GB2312" w:hAnsi="宋体" w:eastAsia="仿宋_GB2312" w:cs="Times New Roman"/>
          <w:color w:val="auto"/>
          <w:kern w:val="2"/>
          <w:sz w:val="32"/>
          <w:szCs w:val="32"/>
          <w:lang w:val="zh-CN" w:eastAsia="zh-CN" w:bidi="ar-SA"/>
        </w:rPr>
        <w:t>月</w:t>
      </w:r>
      <w:r>
        <w:rPr>
          <w:rFonts w:hint="eastAsia" w:ascii="仿宋_GB2312" w:hAnsi="宋体" w:eastAsia="仿宋_GB2312" w:cs="Times New Roman"/>
          <w:color w:val="auto"/>
          <w:kern w:val="2"/>
          <w:sz w:val="32"/>
          <w:szCs w:val="32"/>
          <w:lang w:val="en-US" w:eastAsia="zh-CN" w:bidi="ar-SA"/>
        </w:rPr>
        <w:t>10</w:t>
      </w:r>
      <w:r>
        <w:rPr>
          <w:rFonts w:hint="default" w:ascii="仿宋_GB2312" w:hAnsi="宋体" w:eastAsia="仿宋_GB2312" w:cs="Times New Roman"/>
          <w:color w:val="auto"/>
          <w:kern w:val="2"/>
          <w:sz w:val="32"/>
          <w:szCs w:val="32"/>
          <w:lang w:val="zh-CN" w:eastAsia="zh-CN" w:bidi="ar-SA"/>
        </w:rPr>
        <w:t>日，财政厅、水利厅联合印发《</w:t>
      </w:r>
      <w:r>
        <w:rPr>
          <w:rFonts w:hint="eastAsia" w:ascii="仿宋_GB2312" w:hAnsi="宋体" w:eastAsia="仿宋_GB2312" w:cs="Times New Roman"/>
          <w:color w:val="auto"/>
          <w:kern w:val="2"/>
          <w:sz w:val="32"/>
          <w:szCs w:val="32"/>
          <w:lang w:val="en-US" w:eastAsia="zh-CN" w:bidi="ar-SA"/>
        </w:rPr>
        <w:t>四川省财政厅  四川省水利厅关于下达2020年省级水利发展资金的通知</w:t>
      </w:r>
      <w:r>
        <w:rPr>
          <w:rFonts w:hint="default" w:ascii="仿宋_GB2312" w:hAnsi="宋体" w:eastAsia="仿宋_GB2312" w:cs="Times New Roman"/>
          <w:color w:val="auto"/>
          <w:kern w:val="2"/>
          <w:sz w:val="32"/>
          <w:szCs w:val="32"/>
          <w:lang w:val="zh-CN" w:eastAsia="zh-CN" w:bidi="ar-SA"/>
        </w:rPr>
        <w:t>》（川财</w:t>
      </w:r>
      <w:r>
        <w:rPr>
          <w:rFonts w:hint="eastAsia" w:ascii="仿宋_GB2312" w:hAnsi="宋体" w:eastAsia="仿宋_GB2312" w:cs="Times New Roman"/>
          <w:color w:val="auto"/>
          <w:kern w:val="2"/>
          <w:sz w:val="32"/>
          <w:szCs w:val="32"/>
          <w:lang w:val="en-US" w:eastAsia="zh-CN" w:bidi="ar-SA"/>
        </w:rPr>
        <w:t>农</w:t>
      </w:r>
      <w:r>
        <w:rPr>
          <w:rFonts w:hint="default" w:ascii="仿宋_GB2312" w:hAnsi="宋体" w:eastAsia="仿宋_GB2312" w:cs="Times New Roman"/>
          <w:color w:val="auto"/>
          <w:kern w:val="2"/>
          <w:sz w:val="32"/>
          <w:szCs w:val="32"/>
          <w:lang w:val="zh-CN" w:eastAsia="zh-CN" w:bidi="ar-SA"/>
        </w:rPr>
        <w:t>〔20</w:t>
      </w:r>
      <w:r>
        <w:rPr>
          <w:rFonts w:hint="eastAsia" w:ascii="仿宋_GB2312" w:hAnsi="宋体" w:eastAsia="仿宋_GB2312" w:cs="Times New Roman"/>
          <w:color w:val="auto"/>
          <w:kern w:val="2"/>
          <w:sz w:val="32"/>
          <w:szCs w:val="32"/>
          <w:lang w:val="en-US" w:eastAsia="zh-CN" w:bidi="ar-SA"/>
        </w:rPr>
        <w:t>20</w:t>
      </w:r>
      <w:r>
        <w:rPr>
          <w:rFonts w:hint="default"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en-US" w:eastAsia="zh-CN" w:bidi="ar-SA"/>
        </w:rPr>
        <w:t>40</w:t>
      </w:r>
      <w:r>
        <w:rPr>
          <w:rFonts w:hint="default" w:ascii="仿宋_GB2312" w:hAnsi="宋体" w:eastAsia="仿宋_GB2312" w:cs="Times New Roman"/>
          <w:color w:val="auto"/>
          <w:kern w:val="2"/>
          <w:sz w:val="32"/>
          <w:szCs w:val="32"/>
          <w:lang w:val="zh-CN" w:eastAsia="zh-CN" w:bidi="ar-SA"/>
        </w:rPr>
        <w:t>号）</w:t>
      </w:r>
      <w:r>
        <w:rPr>
          <w:rFonts w:hint="eastAsia" w:ascii="仿宋_GB2312" w:hAnsi="宋体" w:eastAsia="仿宋_GB2312"/>
          <w:color w:val="auto"/>
          <w:sz w:val="32"/>
          <w:szCs w:val="32"/>
          <w:lang w:val="zh-CN"/>
        </w:rPr>
        <w:t>。</w:t>
      </w:r>
      <w:r>
        <w:rPr>
          <w:rFonts w:hint="eastAsia" w:ascii="仿宋_GB2312" w:hAnsi="宋体" w:eastAsia="仿宋_GB2312" w:cs="Times New Roman"/>
          <w:color w:val="auto"/>
          <w:kern w:val="2"/>
          <w:sz w:val="32"/>
          <w:szCs w:val="32"/>
          <w:lang w:val="en-US" w:eastAsia="zh-CN" w:bidi="ar-SA"/>
        </w:rPr>
        <w:t>根据2020年省级水利发展资金分配表，四川省都江堰人民渠第二管理处下达补助资金2595万元用于水毁修复。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olor w:val="auto"/>
          <w:sz w:val="32"/>
          <w:szCs w:val="32"/>
          <w:lang w:val="zh-CN"/>
        </w:rPr>
      </w:pPr>
      <w:r>
        <w:rPr>
          <w:rFonts w:hint="eastAsia" w:ascii="仿宋" w:hAnsi="仿宋" w:eastAsia="仿宋" w:cs="仿宋"/>
          <w:b/>
          <w:bCs/>
          <w:color w:val="auto"/>
          <w:sz w:val="32"/>
          <w:szCs w:val="32"/>
          <w:lang w:val="zh-CN"/>
        </w:rPr>
        <w:t>2．资金使用</w:t>
      </w:r>
      <w:r>
        <w:rPr>
          <w:rFonts w:hint="eastAsia" w:ascii="楷体_GB2312" w:hAnsi="宋体" w:eastAsia="楷体_GB2312"/>
          <w:color w:val="auto"/>
          <w:sz w:val="32"/>
          <w:szCs w:val="32"/>
          <w:lang w:val="zh-CN"/>
        </w:rPr>
        <w:t>。</w:t>
      </w:r>
      <w:r>
        <w:rPr>
          <w:rFonts w:hint="eastAsia" w:ascii="仿宋_GB2312" w:hAnsi="宋体" w:eastAsia="仿宋_GB2312"/>
          <w:color w:val="auto"/>
          <w:sz w:val="32"/>
          <w:szCs w:val="32"/>
          <w:lang w:val="zh-CN"/>
        </w:rPr>
        <w:t>截止评价时点项目资金的实际支出</w:t>
      </w:r>
      <w:r>
        <w:rPr>
          <w:rFonts w:hint="eastAsia" w:ascii="仿宋_GB2312" w:hAnsi="宋体" w:eastAsia="仿宋_GB2312"/>
          <w:color w:val="auto"/>
          <w:sz w:val="32"/>
          <w:szCs w:val="32"/>
          <w:lang w:val="en-US" w:eastAsia="zh-CN"/>
        </w:rPr>
        <w:t>2595万元</w:t>
      </w:r>
      <w:r>
        <w:rPr>
          <w:rFonts w:hint="eastAsia" w:ascii="仿宋_GB2312" w:hAnsi="宋体" w:eastAsia="仿宋_GB2312"/>
          <w:color w:val="auto"/>
          <w:sz w:val="32"/>
          <w:szCs w:val="32"/>
          <w:lang w:val="zh-CN"/>
        </w:rPr>
        <w:t>，资金开支范围</w:t>
      </w:r>
      <w:r>
        <w:rPr>
          <w:rFonts w:hint="eastAsia" w:ascii="仿宋_GB2312" w:hAnsi="宋体" w:eastAsia="仿宋_GB2312"/>
          <w:color w:val="auto"/>
          <w:sz w:val="32"/>
          <w:szCs w:val="32"/>
          <w:lang w:val="en-US" w:eastAsia="zh-CN"/>
        </w:rPr>
        <w:t>包括</w:t>
      </w:r>
      <w:r>
        <w:rPr>
          <w:rFonts w:hint="eastAsia" w:ascii="仿宋_GB2312" w:hAnsi="宋体" w:eastAsia="仿宋_GB2312" w:cs="Times New Roman"/>
          <w:color w:val="auto"/>
          <w:kern w:val="2"/>
          <w:sz w:val="32"/>
          <w:szCs w:val="32"/>
          <w:lang w:val="en-US" w:eastAsia="zh-CN" w:bidi="ar-SA"/>
        </w:rPr>
        <w:t>整治修复水利工程22处。整治内容包括：1、整治明渠改箱涵8处,整治明渠1处；2、整治节制闸2座；3、整治泄洪渠2处；4、整治防洪抢险道路9处。</w:t>
      </w:r>
      <w:r>
        <w:rPr>
          <w:rFonts w:hint="eastAsia" w:ascii="仿宋_GB2312" w:hAnsi="宋体" w:eastAsia="仿宋_GB2312"/>
          <w:color w:val="auto"/>
          <w:sz w:val="32"/>
          <w:szCs w:val="32"/>
          <w:lang w:val="zh-CN"/>
        </w:rPr>
        <w:t>严格按照水利项目建设资金管理有关规定，工程预付款、进度款、尾款等严格按照合同约定、项目实施进度拨付。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（二）项目财务管理情况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工程项目核算执行国有建设单位会计制度，并按照中华人民共和国财政部第81号令基本建设财务规则以及相关的制度要求进行会计核算。工程款的支付、各项费用皆是用于本的建设并按照项目概算内容发生的费用支出。控制建设成本，专款专用。</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项目组织实施情况</w:t>
      </w:r>
    </w:p>
    <w:p>
      <w:pPr>
        <w:pStyle w:val="13"/>
        <w:keepNext w:val="0"/>
        <w:keepLines w:val="0"/>
        <w:widowControl/>
        <w:suppressLineNumbers w:val="0"/>
        <w:shd w:val="clear" w:fill="FFFFFF"/>
        <w:spacing w:after="225" w:afterAutospacing="0" w:line="450" w:lineRule="atLeast"/>
        <w:ind w:right="-226" w:firstLine="640" w:firstLineChars="200"/>
        <w:jc w:val="left"/>
        <w:rPr>
          <w:rFonts w:hint="default"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CN" w:eastAsia="zh-CN" w:bidi="ar-SA"/>
        </w:rPr>
        <w:t>四川省水利厅核准招标事项（川水函〔</w:t>
      </w:r>
      <w:r>
        <w:rPr>
          <w:rFonts w:hint="eastAsia" w:ascii="仿宋_GB2312" w:hAnsi="宋体" w:eastAsia="仿宋_GB2312" w:cs="Times New Roman"/>
          <w:color w:val="auto"/>
          <w:kern w:val="2"/>
          <w:sz w:val="32"/>
          <w:szCs w:val="32"/>
          <w:lang w:val="en-US" w:eastAsia="zh-CN" w:bidi="ar-SA"/>
        </w:rPr>
        <w:t>2020</w:t>
      </w:r>
      <w:r>
        <w:rPr>
          <w:rFonts w:hint="eastAsia"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en-US" w:eastAsia="zh-CN" w:bidi="ar-SA"/>
        </w:rPr>
        <w:t>129</w:t>
      </w:r>
      <w:r>
        <w:rPr>
          <w:rFonts w:hint="eastAsia" w:ascii="仿宋_GB2312" w:hAnsi="宋体" w:eastAsia="仿宋_GB2312" w:cs="Times New Roman"/>
          <w:color w:val="auto"/>
          <w:kern w:val="2"/>
          <w:sz w:val="32"/>
          <w:szCs w:val="32"/>
          <w:lang w:val="zh-CN" w:eastAsia="zh-CN" w:bidi="ar-SA"/>
        </w:rPr>
        <w:t>号），招标组织形式为委托招标。2020</w:t>
      </w:r>
      <w:r>
        <w:rPr>
          <w:rFonts w:hint="eastAsia" w:ascii="仿宋_GB2312" w:hAnsi="宋体" w:eastAsia="仿宋_GB2312" w:cs="Times New Roman"/>
          <w:color w:val="auto"/>
          <w:kern w:val="2"/>
          <w:sz w:val="32"/>
          <w:szCs w:val="32"/>
          <w:lang w:val="en-US" w:eastAsia="zh-CN" w:bidi="ar-SA"/>
        </w:rPr>
        <w:t>年</w:t>
      </w:r>
      <w:r>
        <w:rPr>
          <w:rFonts w:hint="eastAsia" w:ascii="仿宋_GB2312" w:hAnsi="宋体" w:eastAsia="仿宋_GB2312" w:cs="Times New Roman"/>
          <w:color w:val="auto"/>
          <w:kern w:val="2"/>
          <w:sz w:val="32"/>
          <w:szCs w:val="32"/>
          <w:lang w:val="zh-CN" w:eastAsia="zh-CN" w:bidi="ar-SA"/>
        </w:rPr>
        <w:t>9</w:t>
      </w:r>
      <w:r>
        <w:rPr>
          <w:rFonts w:hint="eastAsia" w:ascii="仿宋_GB2312" w:hAnsi="宋体" w:eastAsia="仿宋_GB2312" w:cs="Times New Roman"/>
          <w:color w:val="auto"/>
          <w:kern w:val="2"/>
          <w:sz w:val="32"/>
          <w:szCs w:val="32"/>
          <w:lang w:val="en-US" w:eastAsia="zh-CN" w:bidi="ar-SA"/>
        </w:rPr>
        <w:t>月</w:t>
      </w:r>
      <w:r>
        <w:rPr>
          <w:rFonts w:hint="eastAsia" w:ascii="仿宋_GB2312" w:hAnsi="宋体" w:eastAsia="仿宋_GB2312" w:cs="Times New Roman"/>
          <w:color w:val="auto"/>
          <w:kern w:val="2"/>
          <w:sz w:val="32"/>
          <w:szCs w:val="32"/>
          <w:lang w:val="zh-CN" w:eastAsia="zh-CN" w:bidi="ar-SA"/>
        </w:rPr>
        <w:t>4</w:t>
      </w:r>
      <w:r>
        <w:rPr>
          <w:rFonts w:hint="eastAsia" w:ascii="仿宋_GB2312" w:hAnsi="宋体" w:eastAsia="仿宋_GB2312" w:cs="Times New Roman"/>
          <w:color w:val="auto"/>
          <w:kern w:val="2"/>
          <w:sz w:val="32"/>
          <w:szCs w:val="32"/>
          <w:lang w:val="en-US" w:eastAsia="zh-CN" w:bidi="ar-SA"/>
        </w:rPr>
        <w:t>日，在四川省公共资源交易中心开标，确定施工单位。人民渠二处</w:t>
      </w:r>
      <w:r>
        <w:rPr>
          <w:rFonts w:hint="default" w:ascii="仿宋_GB2312" w:hAnsi="宋体" w:eastAsia="仿宋_GB2312" w:cs="Times New Roman"/>
          <w:color w:val="auto"/>
          <w:kern w:val="2"/>
          <w:sz w:val="32"/>
          <w:szCs w:val="32"/>
          <w:lang w:val="zh-CN" w:eastAsia="zh-CN" w:bidi="ar-SA"/>
        </w:rPr>
        <w:t>严格遵循相关制度和项目管理规定，高度重视项目推进工作</w:t>
      </w:r>
      <w:r>
        <w:rPr>
          <w:rFonts w:hint="default" w:ascii="仿宋_GB2312" w:hAnsi="宋体" w:eastAsia="仿宋_GB2312" w:cs="Times New Roman"/>
          <w:color w:val="auto"/>
          <w:sz w:val="32"/>
          <w:szCs w:val="32"/>
          <w:lang w:val="zh-CN"/>
        </w:rPr>
        <w:t>，</w:t>
      </w:r>
      <w:r>
        <w:rPr>
          <w:rFonts w:hint="default" w:ascii="仿宋_GB2312" w:hAnsi="宋体" w:eastAsia="仿宋_GB2312" w:cs="Times New Roman"/>
          <w:color w:val="auto"/>
          <w:kern w:val="2"/>
          <w:sz w:val="32"/>
          <w:szCs w:val="32"/>
          <w:lang w:val="zh-CN" w:eastAsia="zh-CN" w:bidi="ar-SA"/>
        </w:rPr>
        <w:t>成立</w:t>
      </w:r>
      <w:r>
        <w:rPr>
          <w:rFonts w:hint="eastAsia" w:ascii="仿宋_GB2312" w:hAnsi="宋体" w:eastAsia="仿宋_GB2312" w:cs="Times New Roman"/>
          <w:color w:val="auto"/>
          <w:kern w:val="2"/>
          <w:sz w:val="32"/>
          <w:szCs w:val="32"/>
          <w:lang w:val="en-US" w:eastAsia="zh-CN" w:bidi="ar-SA"/>
        </w:rPr>
        <w:t>了已人民渠二处行政负责人为组长得</w:t>
      </w:r>
      <w:r>
        <w:rPr>
          <w:rFonts w:hint="eastAsia" w:ascii="仿宋_GB2312" w:hAnsi="宋体" w:eastAsia="仿宋_GB2312" w:cs="Times New Roman"/>
          <w:color w:val="auto"/>
          <w:kern w:val="2"/>
          <w:sz w:val="32"/>
          <w:szCs w:val="32"/>
          <w:lang w:val="zh-CN" w:eastAsia="zh-CN" w:bidi="ar-SA"/>
        </w:rPr>
        <w:t>四川省都江堰人民渠第二管理处2018年暴雨洪灾灾后重建项目领导小组，</w:t>
      </w:r>
      <w:r>
        <w:rPr>
          <w:rFonts w:hint="eastAsia" w:ascii="仿宋_GB2312" w:hAnsi="宋体" w:eastAsia="仿宋_GB2312" w:cs="Times New Roman"/>
          <w:color w:val="auto"/>
          <w:kern w:val="2"/>
          <w:sz w:val="32"/>
          <w:szCs w:val="32"/>
          <w:lang w:val="en-US" w:eastAsia="zh-CN" w:bidi="ar-SA"/>
        </w:rPr>
        <w:t>并成立了</w:t>
      </w:r>
      <w:r>
        <w:rPr>
          <w:rFonts w:hint="eastAsia" w:ascii="仿宋_GB2312" w:hAnsi="宋体" w:eastAsia="仿宋_GB2312" w:cs="Times New Roman"/>
          <w:color w:val="auto"/>
          <w:kern w:val="2"/>
          <w:sz w:val="32"/>
          <w:szCs w:val="32"/>
          <w:lang w:val="zh-CN" w:eastAsia="zh-CN" w:bidi="ar-SA"/>
        </w:rPr>
        <w:t>项目部</w:t>
      </w:r>
      <w:r>
        <w:rPr>
          <w:rFonts w:hint="eastAsia" w:ascii="仿宋_GB2312" w:hAnsi="宋体" w:eastAsia="仿宋_GB2312" w:cs="Times New Roman"/>
          <w:color w:val="auto"/>
          <w:kern w:val="2"/>
          <w:sz w:val="32"/>
          <w:szCs w:val="32"/>
          <w:lang w:val="en-US" w:eastAsia="zh-CN" w:bidi="ar-SA"/>
        </w:rPr>
        <w:t>组织机构</w:t>
      </w:r>
      <w:r>
        <w:rPr>
          <w:rFonts w:hint="default" w:ascii="仿宋_GB2312" w:hAnsi="宋体" w:eastAsia="仿宋_GB2312" w:cs="Times New Roman"/>
          <w:color w:val="auto"/>
          <w:sz w:val="32"/>
          <w:szCs w:val="32"/>
          <w:lang w:val="zh-CN"/>
        </w:rPr>
        <w:t>。为有效推进项目建设，项目施工方明确工作任务、倒排工期，加大对项目建设监管力度，保障项目安全和质量，为项目的顺利实施打下坚实的基础。</w:t>
      </w:r>
      <w:r>
        <w:rPr>
          <w:rFonts w:hint="eastAsia" w:ascii="仿宋_GB2312" w:hAnsi="宋体" w:eastAsia="仿宋_GB2312" w:cs="Times New Roman"/>
          <w:color w:val="auto"/>
          <w:kern w:val="2"/>
          <w:sz w:val="32"/>
          <w:szCs w:val="32"/>
          <w:lang w:val="zh-CN" w:eastAsia="zh-CN" w:bidi="ar-SA"/>
        </w:rPr>
        <w:t>设计单位以科学的态度根据现场完善优化设计，确保工程建设安全、资金使用高效；施工单位派驻项目经理、技术负责人及现场、安全等相关人员，按照建设程序严格管理，各司其职，做到安全生产、文明施工；监理单位严格履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eastAsia" w:eastAsia="黑体" w:cs="Times New Roman"/>
          <w:b w:val="0"/>
          <w:bCs w:val="0"/>
          <w:color w:val="auto"/>
          <w:sz w:val="32"/>
          <w:szCs w:val="32"/>
          <w:highlight w:val="none"/>
          <w:lang w:val="en-US" w:eastAsia="zh-CN"/>
        </w:rPr>
        <w:t>三、</w:t>
      </w:r>
      <w:r>
        <w:rPr>
          <w:rFonts w:hint="default" w:ascii="Times New Roman" w:hAnsi="Times New Roman" w:eastAsia="黑体" w:cs="Times New Roman"/>
          <w:b w:val="0"/>
          <w:bCs w:val="0"/>
          <w:color w:val="auto"/>
          <w:sz w:val="32"/>
          <w:szCs w:val="32"/>
          <w:highlight w:val="none"/>
        </w:rPr>
        <w:t>评价工作开展情况</w:t>
      </w:r>
    </w:p>
    <w:p>
      <w:pPr>
        <w:pStyle w:val="13"/>
        <w:keepNext w:val="0"/>
        <w:keepLines w:val="0"/>
        <w:widowControl/>
        <w:suppressLineNumbers w:val="0"/>
        <w:shd w:val="clear" w:fill="FFFFFF"/>
        <w:spacing w:after="225" w:afterAutospacing="0" w:line="450" w:lineRule="atLeast"/>
        <w:ind w:right="-226" w:firstLine="640" w:firstLineChars="200"/>
        <w:jc w:val="left"/>
        <w:rPr>
          <w:rFonts w:hint="default" w:ascii="仿宋_GB2312" w:hAnsi="宋体" w:eastAsia="仿宋_GB2312" w:cs="Times New Roman"/>
          <w:color w:val="auto"/>
          <w:kern w:val="2"/>
          <w:sz w:val="32"/>
          <w:szCs w:val="32"/>
          <w:lang w:val="zh-CN" w:eastAsia="zh-CN" w:bidi="ar-SA"/>
        </w:rPr>
      </w:pPr>
      <w:r>
        <w:rPr>
          <w:rFonts w:hint="default" w:ascii="仿宋_GB2312" w:hAnsi="宋体" w:eastAsia="仿宋_GB2312" w:cs="Times New Roman"/>
          <w:color w:val="auto"/>
          <w:kern w:val="2"/>
          <w:sz w:val="32"/>
          <w:szCs w:val="32"/>
          <w:lang w:val="zh-CN" w:eastAsia="zh-CN" w:bidi="ar-SA"/>
        </w:rPr>
        <w:t>按照《财政厅关于2021年部门、政策和项目支出绩效评价工作的通知》，厅财务处参照《财政部关于印发〈项目支出绩效评价管理办法〉的通知》（财预〔2020〕10号）内容，结合单位自身项目实际，对照项目逐一设置考核指标。</w:t>
      </w:r>
    </w:p>
    <w:p>
      <w:pPr>
        <w:pStyle w:val="13"/>
        <w:keepNext w:val="0"/>
        <w:keepLines w:val="0"/>
        <w:widowControl/>
        <w:suppressLineNumbers w:val="0"/>
        <w:shd w:val="clear" w:fill="FFFFFF"/>
        <w:spacing w:after="225" w:afterAutospacing="0" w:line="450" w:lineRule="atLeast"/>
        <w:ind w:right="-226" w:firstLine="640" w:firstLineChars="200"/>
        <w:jc w:val="left"/>
        <w:rPr>
          <w:rFonts w:hint="default" w:ascii="仿宋_GB2312" w:hAnsi="宋体" w:eastAsia="仿宋_GB2312" w:cs="Times New Roman"/>
          <w:color w:val="auto"/>
          <w:kern w:val="2"/>
          <w:sz w:val="32"/>
          <w:szCs w:val="32"/>
          <w:lang w:val="zh-CN" w:eastAsia="zh-CN" w:bidi="ar-SA"/>
        </w:rPr>
      </w:pPr>
      <w:r>
        <w:rPr>
          <w:rFonts w:hint="default" w:ascii="仿宋_GB2312" w:hAnsi="宋体" w:eastAsia="仿宋_GB2312" w:cs="Times New Roman"/>
          <w:color w:val="auto"/>
          <w:kern w:val="2"/>
          <w:sz w:val="32"/>
          <w:szCs w:val="32"/>
          <w:lang w:val="zh-CN" w:eastAsia="zh-CN" w:bidi="ar-SA"/>
        </w:rPr>
        <w:t>2020年6月18日组织人员对“</w:t>
      </w:r>
      <w:r>
        <w:rPr>
          <w:rFonts w:hint="eastAsia" w:ascii="仿宋_GB2312" w:hAnsi="宋体" w:eastAsia="仿宋_GB2312" w:cs="Times New Roman"/>
          <w:color w:val="auto"/>
          <w:kern w:val="2"/>
          <w:sz w:val="32"/>
          <w:szCs w:val="32"/>
          <w:lang w:val="en-US" w:eastAsia="zh-CN" w:bidi="ar-SA"/>
        </w:rPr>
        <w:t>四川省都江堰人民渠第二管理处2018年暴雨洪灾水利灾后恢复重建项目</w:t>
      </w:r>
      <w:r>
        <w:rPr>
          <w:rFonts w:hint="eastAsia" w:ascii="仿宋_GB2312" w:hAnsi="宋体" w:eastAsia="仿宋_GB2312" w:cs="Times New Roman"/>
          <w:color w:val="auto"/>
          <w:kern w:val="2"/>
          <w:sz w:val="32"/>
          <w:szCs w:val="32"/>
          <w:lang w:val="zh-CN" w:eastAsia="zh-CN" w:bidi="ar-SA"/>
        </w:rPr>
        <w:t>项目</w:t>
      </w:r>
      <w:r>
        <w:rPr>
          <w:rFonts w:hint="default" w:ascii="仿宋_GB2312" w:hAnsi="宋体" w:eastAsia="仿宋_GB2312" w:cs="Times New Roman"/>
          <w:color w:val="auto"/>
          <w:kern w:val="2"/>
          <w:sz w:val="32"/>
          <w:szCs w:val="32"/>
          <w:lang w:val="zh-CN" w:eastAsia="zh-CN" w:bidi="ar-SA"/>
        </w:rPr>
        <w:t>”认真开展绩效自评，并出具自评报告。</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黑体" w:cs="Times New Roman"/>
          <w:b w:val="0"/>
          <w:bCs w:val="0"/>
          <w:color w:val="auto"/>
          <w:sz w:val="32"/>
          <w:szCs w:val="32"/>
          <w:highlight w:val="none"/>
        </w:rPr>
      </w:pPr>
      <w:r>
        <w:rPr>
          <w:rFonts w:hint="eastAsia" w:eastAsia="黑体" w:cs="Times New Roman"/>
          <w:b w:val="0"/>
          <w:bCs w:val="0"/>
          <w:color w:val="auto"/>
          <w:sz w:val="32"/>
          <w:szCs w:val="32"/>
          <w:highlight w:val="none"/>
          <w:lang w:val="en-US" w:eastAsia="zh-CN"/>
        </w:rPr>
        <w:t>四、</w:t>
      </w:r>
      <w:r>
        <w:rPr>
          <w:rFonts w:hint="default" w:ascii="Times New Roman" w:hAnsi="Times New Roman" w:eastAsia="黑体" w:cs="Times New Roman"/>
          <w:b w:val="0"/>
          <w:bCs w:val="0"/>
          <w:color w:val="auto"/>
          <w:sz w:val="32"/>
          <w:szCs w:val="32"/>
          <w:highlight w:val="none"/>
        </w:rPr>
        <w:t>综合评价结论</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 w:cs="Times New Roman"/>
          <w:color w:val="auto"/>
          <w:sz w:val="32"/>
          <w:szCs w:val="40"/>
          <w:highlight w:val="none"/>
        </w:rPr>
      </w:pPr>
      <w:r>
        <w:rPr>
          <w:rFonts w:hint="default" w:ascii="Times New Roman" w:hAnsi="Times New Roman" w:eastAsia="仿宋" w:cs="Times New Roman"/>
          <w:color w:val="auto"/>
          <w:sz w:val="32"/>
          <w:szCs w:val="40"/>
          <w:highlight w:val="none"/>
        </w:rPr>
        <w:t>经过自评，综合自评评级为“优”。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olor w:val="auto"/>
          <w:sz w:val="32"/>
          <w:szCs w:val="32"/>
          <w:lang w:val="zh-CN"/>
        </w:rPr>
      </w:pPr>
      <w:r>
        <w:rPr>
          <w:rFonts w:hint="eastAsia" w:ascii="黑体" w:hAnsi="宋体" w:eastAsia="黑体"/>
          <w:color w:val="auto"/>
          <w:sz w:val="32"/>
          <w:szCs w:val="32"/>
          <w:lang w:val="en-US" w:eastAsia="zh-CN"/>
        </w:rPr>
        <w:t>五、</w:t>
      </w:r>
      <w:r>
        <w:rPr>
          <w:rFonts w:hint="eastAsia" w:ascii="黑体" w:hAnsi="宋体" w:eastAsia="黑体"/>
          <w:color w:val="auto"/>
          <w:sz w:val="32"/>
          <w:szCs w:val="32"/>
        </w:rPr>
        <w:t>项目绩效情况</w:t>
      </w:r>
      <w:r>
        <w:rPr>
          <w:rFonts w:hint="eastAsia" w:ascii="仿宋_GB2312" w:hAnsi="宋体" w:eastAsia="仿宋_GB2312"/>
          <w:color w:val="auto"/>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（一）项目完成情况</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outlineLvl w:val="0"/>
        <w:rPr>
          <w:rFonts w:ascii="楷体_GB2312" w:hAnsi="宋体" w:eastAsia="楷体_GB2312"/>
          <w:b/>
          <w:color w:val="auto"/>
          <w:sz w:val="32"/>
          <w:szCs w:val="32"/>
          <w:lang w:val="zh-CN"/>
        </w:rPr>
      </w:pPr>
      <w:r>
        <w:rPr>
          <w:rFonts w:hint="default" w:ascii="仿宋_GB2312" w:hAnsi="宋体" w:eastAsia="仿宋_GB2312" w:cs="Times New Roman"/>
          <w:color w:val="auto"/>
          <w:kern w:val="2"/>
          <w:sz w:val="32"/>
          <w:szCs w:val="32"/>
          <w:lang w:val="zh-CN" w:eastAsia="zh-CN" w:bidi="ar-SA"/>
        </w:rPr>
        <w:t>2020年</w:t>
      </w:r>
      <w:r>
        <w:rPr>
          <w:rFonts w:hint="eastAsia" w:ascii="仿宋_GB2312" w:hAnsi="宋体" w:eastAsia="仿宋_GB2312" w:cs="Times New Roman"/>
          <w:color w:val="auto"/>
          <w:kern w:val="2"/>
          <w:sz w:val="32"/>
          <w:szCs w:val="32"/>
          <w:lang w:val="en-US" w:eastAsia="zh-CN" w:bidi="ar-SA"/>
        </w:rPr>
        <w:t>底</w:t>
      </w:r>
      <w:r>
        <w:rPr>
          <w:rFonts w:hint="default" w:ascii="仿宋_GB2312" w:hAnsi="宋体" w:eastAsia="仿宋_GB2312" w:cs="Times New Roman"/>
          <w:color w:val="auto"/>
          <w:kern w:val="2"/>
          <w:sz w:val="32"/>
          <w:szCs w:val="32"/>
          <w:lang w:val="zh-CN" w:eastAsia="zh-CN" w:bidi="ar-SA"/>
        </w:rPr>
        <w:t>完成省级</w:t>
      </w:r>
      <w:r>
        <w:rPr>
          <w:rFonts w:hint="eastAsia" w:ascii="仿宋_GB2312" w:hAnsi="宋体" w:eastAsia="仿宋_GB2312" w:cs="Times New Roman"/>
          <w:color w:val="auto"/>
          <w:kern w:val="2"/>
          <w:sz w:val="32"/>
          <w:szCs w:val="32"/>
          <w:lang w:val="en-US" w:eastAsia="zh-CN" w:bidi="ar-SA"/>
        </w:rPr>
        <w:t>补助</w:t>
      </w:r>
      <w:r>
        <w:rPr>
          <w:rFonts w:hint="default" w:ascii="仿宋_GB2312" w:hAnsi="宋体" w:eastAsia="仿宋_GB2312" w:cs="Times New Roman"/>
          <w:color w:val="auto"/>
          <w:kern w:val="2"/>
          <w:sz w:val="32"/>
          <w:szCs w:val="32"/>
          <w:lang w:val="zh-CN" w:eastAsia="zh-CN" w:bidi="ar-SA"/>
        </w:rPr>
        <w:t>资金</w:t>
      </w:r>
      <w:r>
        <w:rPr>
          <w:rFonts w:hint="eastAsia" w:ascii="仿宋_GB2312" w:hAnsi="宋体" w:eastAsia="仿宋_GB2312" w:cs="Times New Roman"/>
          <w:color w:val="auto"/>
          <w:kern w:val="2"/>
          <w:sz w:val="32"/>
          <w:szCs w:val="32"/>
          <w:lang w:val="en-US" w:eastAsia="zh-CN" w:bidi="ar-SA"/>
        </w:rPr>
        <w:t>2595</w:t>
      </w:r>
      <w:r>
        <w:rPr>
          <w:rFonts w:hint="default" w:ascii="仿宋_GB2312" w:hAnsi="宋体" w:eastAsia="仿宋_GB2312" w:cs="Times New Roman"/>
          <w:color w:val="auto"/>
          <w:kern w:val="2"/>
          <w:sz w:val="32"/>
          <w:szCs w:val="32"/>
          <w:lang w:val="zh-CN" w:eastAsia="zh-CN" w:bidi="ar-SA"/>
        </w:rPr>
        <w:t>万元，</w:t>
      </w:r>
      <w:r>
        <w:rPr>
          <w:rFonts w:hint="eastAsia" w:ascii="仿宋_GB2312" w:hAnsi="宋体" w:eastAsia="仿宋_GB2312" w:cs="Times New Roman"/>
          <w:color w:val="auto"/>
          <w:kern w:val="2"/>
          <w:sz w:val="32"/>
          <w:szCs w:val="32"/>
          <w:lang w:val="en-US" w:eastAsia="zh-CN" w:bidi="ar-SA"/>
        </w:rPr>
        <w:t>整治修复完成水利工程22处。整治内容包括：1、整治明渠改箱涵8处,整治明渠1处；2、整治节制闸2座；3、整治泄洪渠2处；4、整治防洪抢险道路9处。各项指标</w:t>
      </w:r>
      <w:r>
        <w:rPr>
          <w:rFonts w:hint="default" w:ascii="仿宋_GB2312" w:hAnsi="宋体" w:eastAsia="仿宋_GB2312" w:cs="Times New Roman"/>
          <w:color w:val="auto"/>
          <w:kern w:val="2"/>
          <w:sz w:val="32"/>
          <w:szCs w:val="32"/>
          <w:lang w:val="zh-CN" w:eastAsia="zh-CN" w:bidi="ar-SA"/>
        </w:rPr>
        <w:t>均完成年度绩效目标。</w:t>
      </w:r>
      <w:r>
        <w:rPr>
          <w:rFonts w:hint="eastAsia" w:ascii="仿宋_GB2312" w:hAnsi="宋体" w:eastAsia="仿宋_GB2312" w:cs="Times New Roman"/>
          <w:color w:val="auto"/>
          <w:kern w:val="2"/>
          <w:sz w:val="32"/>
          <w:szCs w:val="32"/>
          <w:lang w:val="en-US" w:eastAsia="zh-CN" w:bidi="ar-SA"/>
        </w:rPr>
        <w:t>整治修复水利工程22处</w:t>
      </w:r>
      <w:r>
        <w:rPr>
          <w:rFonts w:hint="default"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en-US" w:eastAsia="zh-CN" w:bidi="ar-SA"/>
        </w:rPr>
        <w:t>完成全部整治修复内容。截止</w:t>
      </w:r>
      <w:r>
        <w:rPr>
          <w:rFonts w:hint="default" w:ascii="仿宋_GB2312" w:hAnsi="宋体" w:eastAsia="仿宋_GB2312" w:cs="Times New Roman"/>
          <w:color w:val="auto"/>
          <w:kern w:val="2"/>
          <w:sz w:val="32"/>
          <w:szCs w:val="32"/>
          <w:lang w:val="zh-CN" w:eastAsia="zh-CN" w:bidi="ar-SA"/>
        </w:rPr>
        <w:t>2020年</w:t>
      </w:r>
      <w:r>
        <w:rPr>
          <w:rFonts w:hint="eastAsia" w:ascii="仿宋_GB2312" w:hAnsi="宋体" w:eastAsia="仿宋_GB2312" w:cs="Times New Roman"/>
          <w:color w:val="auto"/>
          <w:kern w:val="2"/>
          <w:sz w:val="32"/>
          <w:szCs w:val="32"/>
          <w:lang w:val="en-US" w:eastAsia="zh-CN" w:bidi="ar-SA"/>
        </w:rPr>
        <w:t>底，完工项目验收初步验收率100%</w:t>
      </w:r>
      <w:r>
        <w:rPr>
          <w:rFonts w:hint="default"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en-US" w:eastAsia="zh-CN" w:bidi="ar-SA"/>
        </w:rPr>
        <w:t>工程验收合格率100%，已建工程不存在质量问题</w:t>
      </w:r>
      <w:r>
        <w:rPr>
          <w:rFonts w:hint="default" w:ascii="仿宋_GB2312" w:hAnsi="宋体" w:eastAsia="仿宋_GB2312" w:cs="Times New Roman"/>
          <w:color w:val="auto"/>
          <w:kern w:val="2"/>
          <w:sz w:val="32"/>
          <w:szCs w:val="32"/>
          <w:lang w:val="zh-CN" w:eastAsia="zh-CN" w:bidi="ar-SA"/>
        </w:rPr>
        <w:t>。</w:t>
      </w:r>
      <w:r>
        <w:rPr>
          <w:rFonts w:hint="default" w:ascii="仿宋_GB2312" w:hAnsi="宋体" w:eastAsia="仿宋_GB2312" w:cs="Times New Roman"/>
          <w:color w:val="auto"/>
          <w:kern w:val="2"/>
          <w:sz w:val="32"/>
          <w:szCs w:val="32"/>
          <w:lang w:val="en-US" w:eastAsia="zh-CN" w:bidi="ar-SA"/>
        </w:rPr>
        <w:t>项目资金到位率为100%；预算执行率为</w:t>
      </w:r>
      <w:r>
        <w:rPr>
          <w:rFonts w:hint="eastAsia" w:ascii="仿宋_GB2312" w:hAnsi="宋体" w:eastAsia="仿宋_GB2312" w:cs="Times New Roman"/>
          <w:color w:val="auto"/>
          <w:kern w:val="2"/>
          <w:sz w:val="32"/>
          <w:szCs w:val="32"/>
          <w:lang w:val="en-US" w:eastAsia="zh-CN" w:bidi="ar-SA"/>
        </w:rPr>
        <w:t>100</w:t>
      </w:r>
      <w:r>
        <w:rPr>
          <w:rFonts w:hint="default" w:ascii="仿宋_GB2312" w:hAnsi="宋体" w:eastAsia="仿宋_GB2312" w:cs="Times New Roman"/>
          <w:color w:val="auto"/>
          <w:kern w:val="2"/>
          <w:sz w:val="32"/>
          <w:szCs w:val="32"/>
          <w:lang w:val="en-US" w:eastAsia="zh-CN" w:bidi="ar-SA"/>
        </w:rPr>
        <w:t>%；资金使用合规，符合国家财经法规和财务管理制度，符合项目预算批复的内容；项目管理制度健全，管理制度合法、合规；项目实施符合相关管理规定。</w:t>
      </w:r>
    </w:p>
    <w:p>
      <w:pPr>
        <w:keepNext w:val="0"/>
        <w:keepLines w:val="0"/>
        <w:pageBreakBefore w:val="0"/>
        <w:numPr>
          <w:ilvl w:val="0"/>
          <w:numId w:val="0"/>
        </w:numPr>
        <w:kinsoku/>
        <w:wordWrap/>
        <w:overflowPunct/>
        <w:topLinePunct w:val="0"/>
        <w:autoSpaceDE/>
        <w:autoSpaceDN/>
        <w:bidi w:val="0"/>
        <w:snapToGrid w:val="0"/>
        <w:spacing w:line="560" w:lineRule="exact"/>
        <w:ind w:leftChars="200" w:right="0" w:rightChars="0" w:firstLine="320" w:firstLineChars="100"/>
        <w:jc w:val="both"/>
        <w:textAlignment w:val="auto"/>
        <w:rPr>
          <w:rFonts w:hint="eastAsia"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w:t>
      </w:r>
      <w:r>
        <w:rPr>
          <w:rFonts w:hint="eastAsia" w:ascii="楷体_GB2312" w:hAnsi="宋体" w:eastAsia="楷体_GB2312"/>
          <w:b w:val="0"/>
          <w:bCs/>
          <w:color w:val="auto"/>
          <w:sz w:val="32"/>
          <w:szCs w:val="32"/>
          <w:lang w:val="en-US" w:eastAsia="zh-CN"/>
        </w:rPr>
        <w:t>二</w:t>
      </w:r>
      <w:r>
        <w:rPr>
          <w:rFonts w:hint="eastAsia" w:ascii="楷体_GB2312" w:hAnsi="宋体" w:eastAsia="楷体_GB2312"/>
          <w:b w:val="0"/>
          <w:bCs/>
          <w:color w:val="auto"/>
          <w:sz w:val="32"/>
          <w:szCs w:val="32"/>
          <w:lang w:val="zh-CN"/>
        </w:rPr>
        <w:t>）项目效益情况</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outlineLvl w:val="0"/>
        <w:rPr>
          <w:rFonts w:hint="default" w:ascii="仿宋_GB2312" w:hAnsi="宋体" w:eastAsia="仿宋_GB2312" w:cs="Times New Roman"/>
          <w:color w:val="auto"/>
          <w:kern w:val="2"/>
          <w:sz w:val="32"/>
          <w:szCs w:val="32"/>
          <w:lang w:val="zh-CN" w:eastAsia="zh-CN" w:bidi="ar-SA"/>
        </w:rPr>
      </w:pPr>
      <w:r>
        <w:rPr>
          <w:rFonts w:hint="default" w:ascii="仿宋_GB2312" w:hAnsi="宋体" w:eastAsia="仿宋_GB2312" w:cs="Times New Roman"/>
          <w:color w:val="auto"/>
          <w:kern w:val="2"/>
          <w:sz w:val="32"/>
          <w:szCs w:val="32"/>
          <w:lang w:val="en-US" w:eastAsia="zh-CN" w:bidi="ar-SA"/>
        </w:rPr>
        <w:t>新增供水能力</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en-US" w:eastAsia="zh-CN" w:bidi="ar-SA"/>
        </w:rPr>
        <w:t>恢复灌溉面积</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en-US" w:eastAsia="zh-CN" w:bidi="ar-SA"/>
        </w:rPr>
        <w:t>新增粮食综合生产能力</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en-US" w:eastAsia="zh-CN" w:bidi="ar-SA"/>
        </w:rPr>
        <w:t>保护耕地面积</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en-US" w:eastAsia="zh-CN" w:bidi="ar-SA"/>
        </w:rPr>
        <w:t>新增年节水能力</w:t>
      </w:r>
      <w:r>
        <w:rPr>
          <w:rFonts w:hint="eastAsia" w:ascii="仿宋_GB2312" w:hAnsi="宋体" w:eastAsia="仿宋_GB2312" w:cs="Times New Roman"/>
          <w:color w:val="auto"/>
          <w:kern w:val="2"/>
          <w:sz w:val="32"/>
          <w:szCs w:val="32"/>
          <w:lang w:val="en-US" w:eastAsia="zh-CN" w:bidi="ar-SA"/>
        </w:rPr>
        <w:t>指标均达到2020年省级水利发展资金绩效目标情况表的全部指标。</w:t>
      </w:r>
      <w:r>
        <w:rPr>
          <w:rFonts w:hint="default" w:ascii="仿宋_GB2312" w:hAnsi="宋体" w:eastAsia="仿宋_GB2312" w:cs="Times New Roman"/>
          <w:color w:val="auto"/>
          <w:kern w:val="2"/>
          <w:sz w:val="32"/>
          <w:szCs w:val="32"/>
          <w:lang w:val="en-US" w:eastAsia="zh-CN" w:bidi="ar-SA"/>
        </w:rPr>
        <w:t>截至</w:t>
      </w:r>
      <w:r>
        <w:rPr>
          <w:rFonts w:hint="eastAsia" w:ascii="仿宋_GB2312" w:hAnsi="宋体" w:eastAsia="仿宋_GB2312" w:cs="Times New Roman"/>
          <w:color w:val="auto"/>
          <w:kern w:val="2"/>
          <w:sz w:val="32"/>
          <w:szCs w:val="32"/>
          <w:lang w:val="en-US" w:eastAsia="zh-CN" w:bidi="ar-SA"/>
        </w:rPr>
        <w:t>目前</w:t>
      </w:r>
      <w:r>
        <w:rPr>
          <w:rFonts w:hint="default" w:ascii="仿宋_GB2312" w:hAnsi="宋体" w:eastAsia="仿宋_GB2312" w:cs="Times New Roman"/>
          <w:color w:val="auto"/>
          <w:kern w:val="2"/>
          <w:sz w:val="32"/>
          <w:szCs w:val="32"/>
          <w:lang w:val="en-US" w:eastAsia="zh-CN" w:bidi="ar-SA"/>
        </w:rPr>
        <w:t>，</w:t>
      </w:r>
      <w:r>
        <w:rPr>
          <w:rFonts w:hint="eastAsia" w:ascii="仿宋_GB2312" w:hAnsi="宋体" w:eastAsia="仿宋_GB2312" w:cs="Times New Roman"/>
          <w:color w:val="auto"/>
          <w:kern w:val="2"/>
          <w:sz w:val="32"/>
          <w:szCs w:val="32"/>
          <w:lang w:val="en-US" w:eastAsia="zh-CN" w:bidi="ar-SA"/>
        </w:rPr>
        <w:t>发生</w:t>
      </w:r>
      <w:r>
        <w:rPr>
          <w:rFonts w:hint="default" w:ascii="仿宋_GB2312" w:hAnsi="宋体" w:eastAsia="仿宋_GB2312" w:cs="Times New Roman"/>
          <w:color w:val="auto"/>
          <w:kern w:val="2"/>
          <w:sz w:val="32"/>
          <w:szCs w:val="32"/>
          <w:lang w:val="en-US" w:eastAsia="zh-CN" w:bidi="ar-SA"/>
        </w:rPr>
        <w:t>工程设计标准内洪水</w:t>
      </w:r>
      <w:r>
        <w:rPr>
          <w:rFonts w:hint="eastAsia" w:ascii="仿宋_GB2312" w:hAnsi="宋体" w:eastAsia="仿宋_GB2312" w:cs="Times New Roman"/>
          <w:color w:val="auto"/>
          <w:kern w:val="2"/>
          <w:sz w:val="32"/>
          <w:szCs w:val="32"/>
          <w:lang w:val="en-US" w:eastAsia="zh-CN" w:bidi="ar-SA"/>
        </w:rPr>
        <w:t>未</w:t>
      </w:r>
      <w:r>
        <w:rPr>
          <w:rFonts w:hint="default" w:ascii="仿宋_GB2312" w:hAnsi="宋体" w:eastAsia="仿宋_GB2312" w:cs="Times New Roman"/>
          <w:color w:val="auto"/>
          <w:kern w:val="2"/>
          <w:sz w:val="32"/>
          <w:szCs w:val="32"/>
          <w:lang w:val="en-US" w:eastAsia="zh-CN" w:bidi="ar-SA"/>
        </w:rPr>
        <w:t>受严重影</w:t>
      </w:r>
      <w:r>
        <w:rPr>
          <w:rFonts w:hint="eastAsia" w:ascii="仿宋_GB2312" w:hAnsi="宋体" w:eastAsia="仿宋_GB2312" w:cs="Times New Roman"/>
          <w:color w:val="auto"/>
          <w:kern w:val="2"/>
          <w:sz w:val="32"/>
          <w:szCs w:val="32"/>
          <w:lang w:val="en-US" w:eastAsia="zh-CN" w:bidi="ar-SA"/>
        </w:rPr>
        <w:t>响，</w:t>
      </w:r>
      <w:r>
        <w:rPr>
          <w:rFonts w:hint="default" w:ascii="仿宋_GB2312" w:hAnsi="宋体" w:eastAsia="仿宋_GB2312" w:cs="Times New Roman"/>
          <w:color w:val="auto"/>
          <w:kern w:val="2"/>
          <w:sz w:val="32"/>
          <w:szCs w:val="32"/>
          <w:lang w:val="en-US" w:eastAsia="zh-CN" w:bidi="ar-SA"/>
        </w:rPr>
        <w:t>已建工程</w:t>
      </w:r>
      <w:r>
        <w:rPr>
          <w:rFonts w:hint="eastAsia" w:ascii="仿宋_GB2312" w:hAnsi="宋体" w:eastAsia="仿宋_GB2312" w:cs="Times New Roman"/>
          <w:color w:val="auto"/>
          <w:kern w:val="2"/>
          <w:sz w:val="32"/>
          <w:szCs w:val="32"/>
          <w:lang w:val="en-US" w:eastAsia="zh-CN" w:bidi="ar-SA"/>
        </w:rPr>
        <w:t>目前</w:t>
      </w:r>
      <w:r>
        <w:rPr>
          <w:rFonts w:hint="default" w:ascii="仿宋_GB2312" w:hAnsi="宋体" w:eastAsia="仿宋_GB2312" w:cs="Times New Roman"/>
          <w:color w:val="auto"/>
          <w:kern w:val="2"/>
          <w:sz w:val="32"/>
          <w:szCs w:val="32"/>
          <w:lang w:val="en-US" w:eastAsia="zh-CN" w:bidi="ar-SA"/>
        </w:rPr>
        <w:t>良性运行。该项目的实施，充分体现了党和国家对农民群众生产生活的关怀，受到了广大群众的欢迎和支持。随机对部分县区的受益群众进行了走访和满意度调查，群众满意度达9</w:t>
      </w:r>
      <w:r>
        <w:rPr>
          <w:rFonts w:hint="eastAsia" w:ascii="仿宋_GB2312" w:hAnsi="宋体" w:eastAsia="仿宋_GB2312" w:cs="Times New Roman"/>
          <w:color w:val="auto"/>
          <w:kern w:val="2"/>
          <w:sz w:val="32"/>
          <w:szCs w:val="32"/>
          <w:lang w:val="en-US" w:eastAsia="zh-CN" w:bidi="ar-SA"/>
        </w:rPr>
        <w:t>0</w:t>
      </w:r>
      <w:r>
        <w:rPr>
          <w:rFonts w:hint="default" w:ascii="仿宋_GB2312" w:hAnsi="宋体" w:eastAsia="仿宋_GB2312" w:cs="Times New Roman"/>
          <w:color w:val="auto"/>
          <w:kern w:val="2"/>
          <w:sz w:val="32"/>
          <w:szCs w:val="32"/>
          <w:lang w:val="en-US" w:eastAsia="zh-CN" w:bidi="ar-SA"/>
        </w:rPr>
        <w:t>%及以上。</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黑体" w:cs="Times New Roman"/>
          <w:b w:val="0"/>
          <w:bCs w:val="0"/>
          <w:color w:val="auto"/>
          <w:sz w:val="32"/>
          <w:szCs w:val="32"/>
          <w:highlight w:val="none"/>
        </w:rPr>
      </w:pPr>
      <w:r>
        <w:rPr>
          <w:rFonts w:hint="eastAsia" w:eastAsia="黑体" w:cs="Times New Roman"/>
          <w:b w:val="0"/>
          <w:bCs w:val="0"/>
          <w:color w:val="auto"/>
          <w:sz w:val="32"/>
          <w:szCs w:val="32"/>
          <w:highlight w:val="none"/>
          <w:lang w:val="en-US" w:eastAsia="zh-CN"/>
        </w:rPr>
        <w:t>六、</w:t>
      </w:r>
      <w:r>
        <w:rPr>
          <w:rFonts w:hint="default" w:ascii="Times New Roman" w:hAnsi="Times New Roman" w:eastAsia="黑体" w:cs="Times New Roman"/>
          <w:b w:val="0"/>
          <w:bCs w:val="0"/>
          <w:color w:val="auto"/>
          <w:sz w:val="32"/>
          <w:szCs w:val="32"/>
          <w:highlight w:val="none"/>
        </w:rPr>
        <w:t>存在主要问题</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eastAsia="黑体" w:cs="Times New Roman"/>
          <w:b w:val="0"/>
          <w:bCs w:val="0"/>
          <w:color w:val="auto"/>
          <w:sz w:val="32"/>
          <w:szCs w:val="32"/>
          <w:highlight w:val="none"/>
          <w:lang w:val="en-US" w:eastAsia="zh-CN"/>
        </w:rPr>
      </w:pPr>
      <w:r>
        <w:rPr>
          <w:rFonts w:hint="eastAsia" w:eastAsia="黑体" w:cs="Times New Roman"/>
          <w:b w:val="0"/>
          <w:bCs w:val="0"/>
          <w:color w:val="auto"/>
          <w:sz w:val="32"/>
          <w:szCs w:val="32"/>
          <w:highlight w:val="none"/>
          <w:lang w:val="en-US" w:eastAsia="zh-CN"/>
        </w:rPr>
        <w:t>七、</w:t>
      </w:r>
      <w:r>
        <w:rPr>
          <w:rFonts w:hint="default" w:ascii="Times New Roman" w:hAnsi="Times New Roman" w:eastAsia="黑体" w:cs="Times New Roman"/>
          <w:b w:val="0"/>
          <w:bCs w:val="0"/>
          <w:color w:val="auto"/>
          <w:sz w:val="32"/>
          <w:szCs w:val="32"/>
          <w:highlight w:val="none"/>
        </w:rPr>
        <w:t>相关措施建议</w:t>
      </w:r>
      <w:r>
        <w:rPr>
          <w:rFonts w:hint="eastAsia" w:eastAsia="黑体" w:cs="Times New Roman"/>
          <w:b w:val="0"/>
          <w:bCs w:val="0"/>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 xml:space="preserve">无 </w:t>
      </w:r>
    </w:p>
    <w:p>
      <w:pPr>
        <w:keepNext w:val="0"/>
        <w:keepLines w:val="0"/>
        <w:pageBreakBefore w:val="0"/>
        <w:numPr>
          <w:ilvl w:val="0"/>
          <w:numId w:val="0"/>
        </w:numPr>
        <w:kinsoku/>
        <w:wordWrap/>
        <w:overflowPunct/>
        <w:topLinePunct w:val="0"/>
        <w:autoSpaceDE/>
        <w:autoSpaceDN/>
        <w:bidi w:val="0"/>
        <w:snapToGrid w:val="0"/>
        <w:spacing w:line="560" w:lineRule="exact"/>
        <w:ind w:leftChars="200" w:right="0" w:rightChars="0" w:firstLine="960" w:firstLineChars="300"/>
        <w:jc w:val="both"/>
        <w:textAlignment w:val="auto"/>
        <w:rPr>
          <w:rFonts w:hint="default" w:ascii="仿宋_GB2312" w:hAnsi="宋体" w:eastAsia="仿宋_GB2312" w:cs="Times New Roman"/>
          <w:color w:val="auto"/>
          <w:kern w:val="2"/>
          <w:sz w:val="32"/>
          <w:szCs w:val="32"/>
          <w:lang w:val="en-US" w:eastAsia="zh-CN" w:bidi="ar-SA"/>
        </w:rPr>
      </w:pPr>
    </w:p>
    <w:p>
      <w:pPr>
        <w:pStyle w:val="6"/>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r>
        <w:rPr>
          <w:rFonts w:hint="eastAsia" w:ascii="方正小标宋简体" w:hAnsi="宋体" w:eastAsia="方正小标宋简体" w:cs="Times New Roman"/>
          <w:color w:val="auto"/>
          <w:kern w:val="0"/>
          <w:sz w:val="44"/>
          <w:szCs w:val="44"/>
          <w:lang w:val="zh-CN" w:eastAsia="zh-CN" w:bidi="ar-SA"/>
        </w:rPr>
        <w:t>四川省都江堰人民渠第二管理处2020年</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color w:val="auto"/>
          <w:kern w:val="0"/>
          <w:sz w:val="44"/>
          <w:szCs w:val="44"/>
          <w:lang w:val="zh-CN" w:eastAsia="zh-CN" w:bidi="ar-SA"/>
        </w:rPr>
      </w:pPr>
      <w:r>
        <w:rPr>
          <w:rFonts w:hint="eastAsia" w:ascii="方正小标宋简体" w:hAnsi="宋体" w:eastAsia="方正小标宋简体" w:cs="Times New Roman"/>
          <w:color w:val="auto"/>
          <w:kern w:val="0"/>
          <w:sz w:val="44"/>
          <w:szCs w:val="44"/>
          <w:lang w:val="zh-CN" w:eastAsia="zh-CN" w:bidi="ar-SA"/>
        </w:rPr>
        <w:t>暴雨洪灾水毁工程支出绩效自评报告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24"/>
          <w:szCs w:val="24"/>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outlineLvl w:val="0"/>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CN" w:eastAsia="zh-CN" w:bidi="ar-SA"/>
        </w:rPr>
        <w:t>四川省都江堰人民渠第二管理处2020年暴雨洪灾水毁工程</w:t>
      </w:r>
      <w:r>
        <w:rPr>
          <w:rFonts w:hint="eastAsia" w:ascii="仿宋_GB2312" w:hAnsi="宋体" w:eastAsia="仿宋_GB2312" w:cs="Times New Roman"/>
          <w:color w:val="auto"/>
          <w:kern w:val="2"/>
          <w:sz w:val="32"/>
          <w:szCs w:val="32"/>
          <w:lang w:val="en-US" w:eastAsia="zh-CN" w:bidi="ar-SA"/>
        </w:rPr>
        <w:t>根据省人民政府办公厅《关于印发四川省抢险救灾工程项目管理办法的通知》（川办发〔2</w:t>
      </w:r>
      <w:r>
        <w:rPr>
          <w:rFonts w:hint="default" w:ascii="仿宋_GB2312" w:hAnsi="宋体" w:eastAsia="仿宋_GB2312" w:cs="Times New Roman"/>
          <w:color w:val="auto"/>
          <w:kern w:val="2"/>
          <w:sz w:val="32"/>
          <w:szCs w:val="32"/>
          <w:lang w:val="en-US" w:eastAsia="zh-CN" w:bidi="ar-SA"/>
        </w:rPr>
        <w:t>020</w:t>
      </w:r>
      <w:r>
        <w:rPr>
          <w:rFonts w:hint="eastAsia" w:ascii="仿宋_GB2312" w:hAnsi="宋体" w:eastAsia="仿宋_GB2312" w:cs="Times New Roman"/>
          <w:color w:val="auto"/>
          <w:kern w:val="2"/>
          <w:sz w:val="32"/>
          <w:szCs w:val="32"/>
          <w:lang w:val="en-US" w:eastAsia="zh-CN" w:bidi="ar-SA"/>
        </w:rPr>
        <w:t>〕3</w:t>
      </w:r>
      <w:r>
        <w:rPr>
          <w:rFonts w:hint="default" w:ascii="仿宋_GB2312" w:hAnsi="宋体" w:eastAsia="仿宋_GB2312" w:cs="Times New Roman"/>
          <w:color w:val="auto"/>
          <w:kern w:val="2"/>
          <w:sz w:val="32"/>
          <w:szCs w:val="32"/>
          <w:lang w:val="en-US" w:eastAsia="zh-CN" w:bidi="ar-SA"/>
        </w:rPr>
        <w:t>7</w:t>
      </w:r>
      <w:r>
        <w:rPr>
          <w:rFonts w:hint="eastAsia" w:ascii="仿宋_GB2312" w:hAnsi="宋体" w:eastAsia="仿宋_GB2312" w:cs="Times New Roman"/>
          <w:color w:val="auto"/>
          <w:kern w:val="2"/>
          <w:sz w:val="32"/>
          <w:szCs w:val="32"/>
          <w:lang w:val="en-US" w:eastAsia="zh-CN" w:bidi="ar-SA"/>
        </w:rPr>
        <w:t>号）、水利厅和财政厅联合下发的《关于探索建立省管大型灌区直接管理水利工程维修养护、应急抢险和重大水毁修复保障机制的指导意见》（川水发〔2</w:t>
      </w:r>
      <w:r>
        <w:rPr>
          <w:rFonts w:hint="default" w:ascii="仿宋_GB2312" w:hAnsi="宋体" w:eastAsia="仿宋_GB2312" w:cs="Times New Roman"/>
          <w:color w:val="auto"/>
          <w:kern w:val="2"/>
          <w:sz w:val="32"/>
          <w:szCs w:val="32"/>
          <w:lang w:val="en-US" w:eastAsia="zh-CN" w:bidi="ar-SA"/>
        </w:rPr>
        <w:t>020</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en-US" w:eastAsia="zh-CN" w:bidi="ar-SA"/>
        </w:rPr>
        <w:t>2</w:t>
      </w:r>
      <w:r>
        <w:rPr>
          <w:rFonts w:hint="eastAsia" w:ascii="仿宋_GB2312" w:hAnsi="宋体" w:eastAsia="仿宋_GB2312" w:cs="Times New Roman"/>
          <w:color w:val="auto"/>
          <w:kern w:val="2"/>
          <w:sz w:val="32"/>
          <w:szCs w:val="32"/>
          <w:lang w:val="en-US" w:eastAsia="zh-CN" w:bidi="ar-SA"/>
        </w:rPr>
        <w:t>号）文件，结合人民渠二处《2</w:t>
      </w:r>
      <w:r>
        <w:rPr>
          <w:rFonts w:hint="default" w:ascii="仿宋_GB2312" w:hAnsi="宋体" w:eastAsia="仿宋_GB2312" w:cs="Times New Roman"/>
          <w:color w:val="auto"/>
          <w:kern w:val="2"/>
          <w:sz w:val="32"/>
          <w:szCs w:val="32"/>
          <w:lang w:val="en-US" w:eastAsia="zh-CN" w:bidi="ar-SA"/>
        </w:rPr>
        <w:t>020</w:t>
      </w:r>
      <w:r>
        <w:rPr>
          <w:rFonts w:hint="eastAsia" w:ascii="仿宋_GB2312" w:hAnsi="宋体" w:eastAsia="仿宋_GB2312" w:cs="Times New Roman"/>
          <w:color w:val="auto"/>
          <w:kern w:val="2"/>
          <w:sz w:val="32"/>
          <w:szCs w:val="32"/>
          <w:lang w:val="en-US" w:eastAsia="zh-CN" w:bidi="ar-SA"/>
        </w:rPr>
        <w:t>年度防汛应急预案》以及《关于成立2</w:t>
      </w:r>
      <w:r>
        <w:rPr>
          <w:rFonts w:hint="default" w:ascii="仿宋_GB2312" w:hAnsi="宋体" w:eastAsia="仿宋_GB2312" w:cs="Times New Roman"/>
          <w:color w:val="auto"/>
          <w:kern w:val="2"/>
          <w:sz w:val="32"/>
          <w:szCs w:val="32"/>
          <w:lang w:val="en-US" w:eastAsia="zh-CN" w:bidi="ar-SA"/>
        </w:rPr>
        <w:t>020</w:t>
      </w:r>
      <w:r>
        <w:rPr>
          <w:rFonts w:hint="eastAsia" w:ascii="仿宋_GB2312" w:hAnsi="宋体" w:eastAsia="仿宋_GB2312" w:cs="Times New Roman"/>
          <w:color w:val="auto"/>
          <w:kern w:val="2"/>
          <w:sz w:val="32"/>
          <w:szCs w:val="32"/>
          <w:lang w:val="en-US" w:eastAsia="zh-CN" w:bidi="ar-SA"/>
        </w:rPr>
        <w:t>年防汛抗旱组织机构的通知》（人二处〔2</w:t>
      </w:r>
      <w:r>
        <w:rPr>
          <w:rFonts w:hint="default" w:ascii="仿宋_GB2312" w:hAnsi="宋体" w:eastAsia="仿宋_GB2312" w:cs="Times New Roman"/>
          <w:color w:val="auto"/>
          <w:kern w:val="2"/>
          <w:sz w:val="32"/>
          <w:szCs w:val="32"/>
          <w:lang w:val="en-US" w:eastAsia="zh-CN" w:bidi="ar-SA"/>
        </w:rPr>
        <w:t>020</w:t>
      </w:r>
      <w:r>
        <w:rPr>
          <w:rFonts w:hint="eastAsia" w:ascii="仿宋_GB2312" w:hAnsi="宋体" w:eastAsia="仿宋_GB2312" w:cs="Times New Roman"/>
          <w:color w:val="auto"/>
          <w:kern w:val="2"/>
          <w:sz w:val="32"/>
          <w:szCs w:val="32"/>
          <w:lang w:val="en-US" w:eastAsia="zh-CN" w:bidi="ar-SA"/>
        </w:rPr>
        <w:t>〕4</w:t>
      </w:r>
      <w:r>
        <w:rPr>
          <w:rFonts w:hint="default" w:ascii="仿宋_GB2312" w:hAnsi="宋体" w:eastAsia="仿宋_GB2312" w:cs="Times New Roman"/>
          <w:color w:val="auto"/>
          <w:kern w:val="2"/>
          <w:sz w:val="32"/>
          <w:szCs w:val="32"/>
          <w:lang w:val="en-US" w:eastAsia="zh-CN" w:bidi="ar-SA"/>
        </w:rPr>
        <w:t>8</w:t>
      </w:r>
      <w:r>
        <w:rPr>
          <w:rFonts w:hint="eastAsia" w:ascii="仿宋_GB2312" w:hAnsi="宋体" w:eastAsia="仿宋_GB2312" w:cs="Times New Roman"/>
          <w:color w:val="auto"/>
          <w:kern w:val="2"/>
          <w:sz w:val="32"/>
          <w:szCs w:val="32"/>
          <w:lang w:val="en-US" w:eastAsia="zh-CN" w:bidi="ar-SA"/>
        </w:rPr>
        <w:t>号），委托中水君信工程勘察设计有限公司为水毁修复项目的勘察设计单位</w:t>
      </w:r>
      <w:r>
        <w:rPr>
          <w:rFonts w:hint="eastAsia" w:ascii="仿宋_GB2312" w:hAnsi="宋体" w:eastAsia="仿宋_GB2312" w:cs="Times New Roman"/>
          <w:color w:val="auto"/>
          <w:kern w:val="2"/>
          <w:sz w:val="32"/>
          <w:szCs w:val="32"/>
          <w:lang w:val="zh-CN" w:eastAsia="zh-CN" w:bidi="ar-SA"/>
        </w:rPr>
        <w:t>。</w:t>
      </w:r>
    </w:p>
    <w:p>
      <w:pPr>
        <w:keepNext w:val="0"/>
        <w:keepLines w:val="0"/>
        <w:pageBreakBefore w:val="0"/>
        <w:numPr>
          <w:ilvl w:val="0"/>
          <w:numId w:val="0"/>
        </w:numPr>
        <w:kinsoku/>
        <w:wordWrap/>
        <w:overflowPunct/>
        <w:topLinePunct w:val="0"/>
        <w:autoSpaceDE/>
        <w:autoSpaceDN/>
        <w:bidi w:val="0"/>
        <w:snapToGrid w:val="0"/>
        <w:spacing w:line="560" w:lineRule="exact"/>
        <w:ind w:leftChars="200" w:right="0" w:rightChars="0"/>
        <w:jc w:val="both"/>
        <w:textAlignment w:val="auto"/>
        <w:rPr>
          <w:rFonts w:hint="eastAsia"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w:t>
      </w:r>
      <w:r>
        <w:rPr>
          <w:rFonts w:hint="eastAsia" w:ascii="楷体_GB2312" w:hAnsi="宋体" w:eastAsia="楷体_GB2312"/>
          <w:b w:val="0"/>
          <w:bCs/>
          <w:color w:val="auto"/>
          <w:sz w:val="32"/>
          <w:szCs w:val="32"/>
          <w:lang w:val="en-US" w:eastAsia="zh-CN"/>
        </w:rPr>
        <w:t>一</w:t>
      </w:r>
      <w:r>
        <w:rPr>
          <w:rFonts w:hint="eastAsia" w:ascii="楷体_GB2312" w:hAnsi="宋体" w:eastAsia="楷体_GB2312"/>
          <w:b w:val="0"/>
          <w:bCs/>
          <w:color w:val="auto"/>
          <w:sz w:val="32"/>
          <w:szCs w:val="32"/>
          <w:lang w:val="zh-CN"/>
        </w:rPr>
        <w:t>）项目资金申报及批复情况</w:t>
      </w:r>
    </w:p>
    <w:p>
      <w:pPr>
        <w:keepNext w:val="0"/>
        <w:keepLines w:val="0"/>
        <w:pageBreakBefore w:val="0"/>
        <w:numPr>
          <w:ilvl w:val="0"/>
          <w:numId w:val="0"/>
        </w:numPr>
        <w:kinsoku/>
        <w:wordWrap/>
        <w:overflowPunct/>
        <w:topLinePunct w:val="0"/>
        <w:autoSpaceDE/>
        <w:autoSpaceDN/>
        <w:bidi w:val="0"/>
        <w:snapToGrid w:val="0"/>
        <w:spacing w:line="560" w:lineRule="exact"/>
        <w:ind w:right="0" w:rightChars="0" w:firstLine="640" w:firstLineChars="200"/>
        <w:jc w:val="both"/>
        <w:textAlignment w:val="auto"/>
        <w:rPr>
          <w:rFonts w:hint="default" w:ascii="仿宋_GB2312" w:hAnsi="宋体" w:eastAsia="仿宋_GB2312" w:cs="Times New Roman"/>
          <w:color w:val="auto"/>
          <w:kern w:val="2"/>
          <w:sz w:val="32"/>
          <w:szCs w:val="32"/>
          <w:lang w:val="en-US" w:eastAsia="zh-CN" w:bidi="ar-SA"/>
        </w:rPr>
      </w:pPr>
      <w:r>
        <w:rPr>
          <w:rFonts w:hint="default" w:ascii="仿宋_GB2312" w:hAnsi="宋体" w:eastAsia="仿宋_GB2312" w:cs="Times New Roman"/>
          <w:color w:val="auto"/>
          <w:kern w:val="2"/>
          <w:sz w:val="32"/>
          <w:szCs w:val="32"/>
          <w:lang w:val="zh-CN" w:eastAsia="zh-CN" w:bidi="ar-SA"/>
        </w:rPr>
        <w:t>20</w:t>
      </w:r>
      <w:r>
        <w:rPr>
          <w:rFonts w:hint="eastAsia" w:ascii="仿宋_GB2312" w:hAnsi="宋体" w:eastAsia="仿宋_GB2312" w:cs="Times New Roman"/>
          <w:color w:val="auto"/>
          <w:kern w:val="2"/>
          <w:sz w:val="32"/>
          <w:szCs w:val="32"/>
          <w:lang w:val="en-US" w:eastAsia="zh-CN" w:bidi="ar-SA"/>
        </w:rPr>
        <w:t>20</w:t>
      </w:r>
      <w:r>
        <w:rPr>
          <w:rFonts w:hint="default" w:ascii="仿宋_GB2312" w:hAnsi="宋体" w:eastAsia="仿宋_GB2312" w:cs="Times New Roman"/>
          <w:color w:val="auto"/>
          <w:kern w:val="2"/>
          <w:sz w:val="32"/>
          <w:szCs w:val="32"/>
          <w:lang w:val="zh-CN" w:eastAsia="zh-CN" w:bidi="ar-SA"/>
        </w:rPr>
        <w:t>年</w:t>
      </w:r>
      <w:r>
        <w:rPr>
          <w:rFonts w:hint="eastAsia" w:ascii="仿宋_GB2312" w:hAnsi="宋体" w:eastAsia="仿宋_GB2312" w:cs="Times New Roman"/>
          <w:color w:val="auto"/>
          <w:kern w:val="2"/>
          <w:sz w:val="32"/>
          <w:szCs w:val="32"/>
          <w:lang w:val="en-US" w:eastAsia="zh-CN" w:bidi="ar-SA"/>
        </w:rPr>
        <w:t>9</w:t>
      </w:r>
      <w:r>
        <w:rPr>
          <w:rFonts w:hint="default" w:ascii="仿宋_GB2312" w:hAnsi="宋体" w:eastAsia="仿宋_GB2312" w:cs="Times New Roman"/>
          <w:color w:val="auto"/>
          <w:kern w:val="2"/>
          <w:sz w:val="32"/>
          <w:szCs w:val="32"/>
          <w:lang w:val="zh-CN" w:eastAsia="zh-CN" w:bidi="ar-SA"/>
        </w:rPr>
        <w:t>月</w:t>
      </w:r>
      <w:r>
        <w:rPr>
          <w:rFonts w:hint="eastAsia" w:ascii="仿宋_GB2312" w:hAnsi="宋体" w:eastAsia="仿宋_GB2312" w:cs="Times New Roman"/>
          <w:color w:val="auto"/>
          <w:kern w:val="2"/>
          <w:sz w:val="32"/>
          <w:szCs w:val="32"/>
          <w:lang w:val="en-US" w:eastAsia="zh-CN" w:bidi="ar-SA"/>
        </w:rPr>
        <w:t>16</w:t>
      </w:r>
      <w:r>
        <w:rPr>
          <w:rFonts w:hint="default" w:ascii="仿宋_GB2312" w:hAnsi="宋体" w:eastAsia="仿宋_GB2312" w:cs="Times New Roman"/>
          <w:color w:val="auto"/>
          <w:kern w:val="2"/>
          <w:sz w:val="32"/>
          <w:szCs w:val="32"/>
          <w:lang w:val="zh-CN" w:eastAsia="zh-CN" w:bidi="ar-SA"/>
        </w:rPr>
        <w:t>日，财政厅、水利厅联合印发《</w:t>
      </w:r>
      <w:r>
        <w:rPr>
          <w:rFonts w:hint="eastAsia" w:ascii="仿宋_GB2312" w:hAnsi="宋体" w:eastAsia="仿宋_GB2312" w:cs="Times New Roman"/>
          <w:color w:val="auto"/>
          <w:kern w:val="2"/>
          <w:sz w:val="32"/>
          <w:szCs w:val="32"/>
          <w:lang w:val="en-US" w:eastAsia="zh-CN" w:bidi="ar-SA"/>
        </w:rPr>
        <w:t>四川省财政厅  四川省水利厅关于下达2020年省级水利救灾资金的通知</w:t>
      </w:r>
      <w:r>
        <w:rPr>
          <w:rFonts w:hint="default" w:ascii="仿宋_GB2312" w:hAnsi="宋体" w:eastAsia="仿宋_GB2312" w:cs="Times New Roman"/>
          <w:color w:val="auto"/>
          <w:kern w:val="2"/>
          <w:sz w:val="32"/>
          <w:szCs w:val="32"/>
          <w:lang w:val="zh-CN" w:eastAsia="zh-CN" w:bidi="ar-SA"/>
        </w:rPr>
        <w:t>》（川财</w:t>
      </w:r>
      <w:r>
        <w:rPr>
          <w:rFonts w:hint="eastAsia" w:ascii="仿宋_GB2312" w:hAnsi="宋体" w:eastAsia="仿宋_GB2312" w:cs="Times New Roman"/>
          <w:color w:val="auto"/>
          <w:kern w:val="2"/>
          <w:sz w:val="32"/>
          <w:szCs w:val="32"/>
          <w:lang w:val="en-US" w:eastAsia="zh-CN" w:bidi="ar-SA"/>
        </w:rPr>
        <w:t>农</w:t>
      </w:r>
      <w:r>
        <w:rPr>
          <w:rFonts w:hint="default" w:ascii="仿宋_GB2312" w:hAnsi="宋体" w:eastAsia="仿宋_GB2312" w:cs="Times New Roman"/>
          <w:color w:val="auto"/>
          <w:kern w:val="2"/>
          <w:sz w:val="32"/>
          <w:szCs w:val="32"/>
          <w:lang w:val="zh-CN" w:eastAsia="zh-CN" w:bidi="ar-SA"/>
        </w:rPr>
        <w:t>〔20</w:t>
      </w:r>
      <w:r>
        <w:rPr>
          <w:rFonts w:hint="eastAsia" w:ascii="仿宋_GB2312" w:hAnsi="宋体" w:eastAsia="仿宋_GB2312" w:cs="Times New Roman"/>
          <w:color w:val="auto"/>
          <w:kern w:val="2"/>
          <w:sz w:val="32"/>
          <w:szCs w:val="32"/>
          <w:lang w:val="en-US" w:eastAsia="zh-CN" w:bidi="ar-SA"/>
        </w:rPr>
        <w:t>20</w:t>
      </w:r>
      <w:r>
        <w:rPr>
          <w:rFonts w:hint="default"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en-US" w:eastAsia="zh-CN" w:bidi="ar-SA"/>
        </w:rPr>
        <w:t>119</w:t>
      </w:r>
      <w:r>
        <w:rPr>
          <w:rFonts w:hint="default" w:ascii="仿宋_GB2312" w:hAnsi="宋体" w:eastAsia="仿宋_GB2312" w:cs="Times New Roman"/>
          <w:color w:val="auto"/>
          <w:kern w:val="2"/>
          <w:sz w:val="32"/>
          <w:szCs w:val="32"/>
          <w:lang w:val="zh-CN" w:eastAsia="zh-CN" w:bidi="ar-SA"/>
        </w:rPr>
        <w:t>号）。为做好</w:t>
      </w:r>
      <w:r>
        <w:rPr>
          <w:rFonts w:hint="eastAsia" w:ascii="仿宋_GB2312" w:hAnsi="宋体" w:eastAsia="仿宋_GB2312" w:cs="Times New Roman"/>
          <w:color w:val="auto"/>
          <w:kern w:val="2"/>
          <w:sz w:val="32"/>
          <w:szCs w:val="32"/>
          <w:lang w:val="en-US" w:eastAsia="zh-CN" w:bidi="ar-SA"/>
        </w:rPr>
        <w:t>洪涝灾害恢复工作</w:t>
      </w:r>
      <w:r>
        <w:rPr>
          <w:rFonts w:hint="default" w:ascii="仿宋_GB2312" w:hAnsi="宋体" w:eastAsia="仿宋_GB2312" w:cs="Times New Roman"/>
          <w:color w:val="auto"/>
          <w:kern w:val="2"/>
          <w:sz w:val="32"/>
          <w:szCs w:val="32"/>
          <w:lang w:val="zh-CN" w:eastAsia="zh-CN" w:bidi="ar-SA"/>
        </w:rPr>
        <w:t>,报经省政府领导同意,现一次性下达你单位2020年省级水利</w:t>
      </w:r>
      <w:r>
        <w:rPr>
          <w:rFonts w:hint="eastAsia" w:ascii="仿宋_GB2312" w:hAnsi="宋体" w:eastAsia="仿宋_GB2312" w:cs="Times New Roman"/>
          <w:color w:val="auto"/>
          <w:kern w:val="2"/>
          <w:sz w:val="32"/>
          <w:szCs w:val="32"/>
          <w:lang w:val="en-US" w:eastAsia="zh-CN" w:bidi="ar-SA"/>
        </w:rPr>
        <w:t>救灾</w:t>
      </w:r>
      <w:r>
        <w:rPr>
          <w:rFonts w:hint="default" w:ascii="仿宋_GB2312" w:hAnsi="宋体" w:eastAsia="仿宋_GB2312" w:cs="Times New Roman"/>
          <w:color w:val="auto"/>
          <w:kern w:val="2"/>
          <w:sz w:val="32"/>
          <w:szCs w:val="32"/>
          <w:lang w:val="zh-CN" w:eastAsia="zh-CN" w:bidi="ar-SA"/>
        </w:rPr>
        <w:t>资金</w:t>
      </w:r>
      <w:r>
        <w:rPr>
          <w:rFonts w:hint="eastAsia" w:ascii="仿宋_GB2312" w:hAnsi="宋体" w:eastAsia="仿宋_GB2312" w:cs="Times New Roman"/>
          <w:color w:val="auto"/>
          <w:kern w:val="2"/>
          <w:sz w:val="32"/>
          <w:szCs w:val="32"/>
          <w:lang w:val="en-US" w:eastAsia="zh-CN" w:bidi="ar-SA"/>
        </w:rPr>
        <w:t>5000</w:t>
      </w:r>
      <w:r>
        <w:rPr>
          <w:rFonts w:hint="default" w:ascii="仿宋_GB2312" w:hAnsi="宋体" w:eastAsia="仿宋_GB2312" w:cs="Times New Roman"/>
          <w:color w:val="auto"/>
          <w:kern w:val="2"/>
          <w:sz w:val="32"/>
          <w:szCs w:val="32"/>
          <w:lang w:val="zh-CN" w:eastAsia="zh-CN" w:bidi="ar-SA"/>
        </w:rPr>
        <w:t>万元,用于重大水毁修复</w:t>
      </w:r>
      <w:r>
        <w:rPr>
          <w:rFonts w:hint="eastAsia"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en-US" w:eastAsia="zh-CN" w:bidi="ar-SA"/>
        </w:rPr>
        <w:t>山洪沟及河道清淤清障</w:t>
      </w:r>
      <w:r>
        <w:rPr>
          <w:rFonts w:hint="default"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en-US" w:eastAsia="zh-CN" w:bidi="ar-SA"/>
        </w:rPr>
        <w:t>根据2020年省级水利救灾资金分配表，四川省都江堰人民渠第二管理处下达救灾资金300万元用于水毁修复。整治修复水利工程16处。</w:t>
      </w:r>
    </w:p>
    <w:p>
      <w:pPr>
        <w:keepNext w:val="0"/>
        <w:keepLines w:val="0"/>
        <w:pageBreakBefore w:val="0"/>
        <w:numPr>
          <w:ilvl w:val="0"/>
          <w:numId w:val="0"/>
        </w:numPr>
        <w:kinsoku/>
        <w:wordWrap/>
        <w:overflowPunct/>
        <w:topLinePunct w:val="0"/>
        <w:autoSpaceDE/>
        <w:autoSpaceDN/>
        <w:bidi w:val="0"/>
        <w:snapToGrid w:val="0"/>
        <w:spacing w:line="560" w:lineRule="exact"/>
        <w:ind w:leftChars="200" w:right="0" w:rightChars="0"/>
        <w:jc w:val="both"/>
        <w:textAlignment w:val="auto"/>
        <w:rPr>
          <w:rFonts w:hint="eastAsia"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w:t>
      </w:r>
      <w:r>
        <w:rPr>
          <w:rFonts w:hint="eastAsia" w:ascii="楷体_GB2312" w:hAnsi="宋体" w:eastAsia="楷体_GB2312"/>
          <w:b w:val="0"/>
          <w:bCs/>
          <w:color w:val="auto"/>
          <w:sz w:val="32"/>
          <w:szCs w:val="32"/>
          <w:lang w:val="en-US" w:eastAsia="zh-CN"/>
        </w:rPr>
        <w:t>二</w:t>
      </w:r>
      <w:r>
        <w:rPr>
          <w:rFonts w:hint="eastAsia" w:ascii="楷体_GB2312" w:hAnsi="宋体" w:eastAsia="楷体_GB2312"/>
          <w:b w:val="0"/>
          <w:bCs/>
          <w:color w:val="auto"/>
          <w:sz w:val="32"/>
          <w:szCs w:val="32"/>
          <w:lang w:val="zh-CN"/>
        </w:rPr>
        <w:t>）项目绩效目标</w:t>
      </w:r>
    </w:p>
    <w:p>
      <w:pPr>
        <w:keepNext w:val="0"/>
        <w:keepLines w:val="0"/>
        <w:pageBreakBefore w:val="0"/>
        <w:numPr>
          <w:ilvl w:val="0"/>
          <w:numId w:val="0"/>
        </w:numPr>
        <w:kinsoku/>
        <w:wordWrap/>
        <w:overflowPunct/>
        <w:topLinePunct w:val="0"/>
        <w:autoSpaceDE/>
        <w:autoSpaceDN/>
        <w:bidi w:val="0"/>
        <w:snapToGrid w:val="0"/>
        <w:spacing w:line="560" w:lineRule="exact"/>
        <w:ind w:right="0" w:rightChars="0" w:firstLine="640" w:firstLineChars="200"/>
        <w:jc w:val="both"/>
        <w:textAlignment w:val="auto"/>
        <w:rPr>
          <w:rFonts w:hint="eastAsia" w:ascii="仿宋_GB2312" w:hAnsi="宋体" w:eastAsia="仿宋_GB2312" w:cs="Times New Roman"/>
          <w:color w:val="auto"/>
          <w:kern w:val="2"/>
          <w:sz w:val="32"/>
          <w:szCs w:val="32"/>
          <w:lang w:val="zh-CN" w:eastAsia="zh-CN" w:bidi="ar-SA"/>
        </w:rPr>
      </w:pPr>
      <w:r>
        <w:rPr>
          <w:rFonts w:hint="default" w:ascii="仿宋_GB2312" w:hAnsi="宋体" w:eastAsia="仿宋_GB2312" w:cs="Times New Roman"/>
          <w:color w:val="auto"/>
          <w:kern w:val="2"/>
          <w:sz w:val="32"/>
          <w:szCs w:val="32"/>
          <w:lang w:val="zh-CN" w:eastAsia="zh-CN" w:bidi="ar-SA"/>
        </w:rPr>
        <w:t>2020年</w:t>
      </w:r>
      <w:r>
        <w:rPr>
          <w:rFonts w:hint="eastAsia" w:ascii="仿宋_GB2312" w:hAnsi="宋体" w:eastAsia="仿宋_GB2312" w:cs="Times New Roman"/>
          <w:color w:val="auto"/>
          <w:kern w:val="2"/>
          <w:sz w:val="32"/>
          <w:szCs w:val="32"/>
          <w:lang w:val="en-US" w:eastAsia="zh-CN" w:bidi="ar-SA"/>
        </w:rPr>
        <w:t>底</w:t>
      </w:r>
      <w:r>
        <w:rPr>
          <w:rFonts w:hint="default" w:ascii="仿宋_GB2312" w:hAnsi="宋体" w:eastAsia="仿宋_GB2312" w:cs="Times New Roman"/>
          <w:color w:val="auto"/>
          <w:kern w:val="2"/>
          <w:sz w:val="32"/>
          <w:szCs w:val="32"/>
          <w:lang w:val="zh-CN" w:eastAsia="zh-CN" w:bidi="ar-SA"/>
        </w:rPr>
        <w:t>完成省级</w:t>
      </w:r>
      <w:r>
        <w:rPr>
          <w:rFonts w:hint="eastAsia" w:ascii="仿宋_GB2312" w:hAnsi="宋体" w:eastAsia="仿宋_GB2312" w:cs="Times New Roman"/>
          <w:color w:val="auto"/>
          <w:kern w:val="2"/>
          <w:sz w:val="32"/>
          <w:szCs w:val="32"/>
          <w:lang w:val="en-US" w:eastAsia="zh-CN" w:bidi="ar-SA"/>
        </w:rPr>
        <w:t>救灾</w:t>
      </w:r>
      <w:r>
        <w:rPr>
          <w:rFonts w:hint="default" w:ascii="仿宋_GB2312" w:hAnsi="宋体" w:eastAsia="仿宋_GB2312" w:cs="Times New Roman"/>
          <w:color w:val="auto"/>
          <w:kern w:val="2"/>
          <w:sz w:val="32"/>
          <w:szCs w:val="32"/>
          <w:lang w:val="zh-CN" w:eastAsia="zh-CN" w:bidi="ar-SA"/>
        </w:rPr>
        <w:t>资金</w:t>
      </w:r>
      <w:r>
        <w:rPr>
          <w:rFonts w:hint="eastAsia" w:ascii="仿宋_GB2312" w:hAnsi="宋体" w:eastAsia="仿宋_GB2312" w:cs="Times New Roman"/>
          <w:color w:val="auto"/>
          <w:kern w:val="2"/>
          <w:sz w:val="32"/>
          <w:szCs w:val="32"/>
          <w:lang w:val="en-US" w:eastAsia="zh-CN" w:bidi="ar-SA"/>
        </w:rPr>
        <w:t>300</w:t>
      </w:r>
      <w:r>
        <w:rPr>
          <w:rFonts w:hint="default" w:ascii="仿宋_GB2312" w:hAnsi="宋体" w:eastAsia="仿宋_GB2312" w:cs="Times New Roman"/>
          <w:color w:val="auto"/>
          <w:kern w:val="2"/>
          <w:sz w:val="32"/>
          <w:szCs w:val="32"/>
          <w:lang w:val="zh-CN" w:eastAsia="zh-CN" w:bidi="ar-SA"/>
        </w:rPr>
        <w:t>万元，</w:t>
      </w:r>
      <w:r>
        <w:rPr>
          <w:rFonts w:hint="eastAsia" w:ascii="仿宋_GB2312" w:hAnsi="宋体" w:eastAsia="仿宋_GB2312" w:cs="Times New Roman"/>
          <w:color w:val="auto"/>
          <w:kern w:val="2"/>
          <w:sz w:val="32"/>
          <w:szCs w:val="32"/>
          <w:lang w:val="en-US" w:eastAsia="zh-CN" w:bidi="ar-SA"/>
        </w:rPr>
        <w:t>整治修复水利工程16处。整治内容包括：1.明渠边坡垮塌整治15处；泄洪排水整治1处，各项指标</w:t>
      </w:r>
      <w:r>
        <w:rPr>
          <w:rFonts w:hint="default" w:ascii="仿宋_GB2312" w:hAnsi="宋体" w:eastAsia="仿宋_GB2312" w:cs="Times New Roman"/>
          <w:color w:val="auto"/>
          <w:kern w:val="2"/>
          <w:sz w:val="32"/>
          <w:szCs w:val="32"/>
          <w:lang w:val="zh-CN" w:eastAsia="zh-CN" w:bidi="ar-SA"/>
        </w:rPr>
        <w:t>均完成年度绩效目标。</w:t>
      </w:r>
      <w:r>
        <w:rPr>
          <w:rFonts w:hint="eastAsia" w:ascii="仿宋_GB2312" w:hAnsi="宋体" w:eastAsia="仿宋_GB2312" w:cs="Times New Roman"/>
          <w:color w:val="auto"/>
          <w:kern w:val="2"/>
          <w:sz w:val="32"/>
          <w:szCs w:val="32"/>
          <w:lang w:val="en-US" w:eastAsia="zh-CN" w:bidi="ar-SA"/>
        </w:rPr>
        <w:t>2.</w:t>
      </w:r>
      <w:r>
        <w:rPr>
          <w:rFonts w:hint="default" w:ascii="仿宋_GB2312" w:hAnsi="宋体" w:eastAsia="仿宋_GB2312" w:cs="Times New Roman"/>
          <w:color w:val="auto"/>
          <w:kern w:val="2"/>
          <w:sz w:val="32"/>
          <w:szCs w:val="32"/>
          <w:lang w:val="zh-CN" w:eastAsia="zh-CN" w:bidi="ar-SA"/>
        </w:rPr>
        <w:t>数量指标</w:t>
      </w:r>
      <w:r>
        <w:rPr>
          <w:rFonts w:hint="eastAsia"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en-US" w:eastAsia="zh-CN" w:bidi="ar-SA"/>
        </w:rPr>
        <w:t>完成全部整治修复内容。3.</w:t>
      </w:r>
      <w:r>
        <w:rPr>
          <w:rFonts w:hint="default" w:ascii="仿宋_GB2312" w:hAnsi="宋体" w:eastAsia="仿宋_GB2312" w:cs="Times New Roman"/>
          <w:color w:val="auto"/>
          <w:kern w:val="2"/>
          <w:sz w:val="32"/>
          <w:szCs w:val="32"/>
          <w:lang w:val="en-US" w:eastAsia="zh-CN" w:bidi="ar-SA"/>
        </w:rPr>
        <w:t>质量指标</w:t>
      </w:r>
      <w:r>
        <w:rPr>
          <w:rFonts w:hint="eastAsia" w:ascii="仿宋_GB2312" w:hAnsi="宋体" w:eastAsia="仿宋_GB2312" w:cs="Times New Roman"/>
          <w:color w:val="auto"/>
          <w:kern w:val="2"/>
          <w:sz w:val="32"/>
          <w:szCs w:val="32"/>
          <w:lang w:val="en-US" w:eastAsia="zh-CN" w:bidi="ar-SA"/>
        </w:rPr>
        <w:t>：截止</w:t>
      </w:r>
      <w:r>
        <w:rPr>
          <w:rFonts w:hint="default" w:ascii="仿宋_GB2312" w:hAnsi="宋体" w:eastAsia="仿宋_GB2312" w:cs="Times New Roman"/>
          <w:color w:val="auto"/>
          <w:kern w:val="2"/>
          <w:sz w:val="32"/>
          <w:szCs w:val="32"/>
          <w:lang w:val="zh-CN" w:eastAsia="zh-CN" w:bidi="ar-SA"/>
        </w:rPr>
        <w:t>2020年</w:t>
      </w:r>
      <w:r>
        <w:rPr>
          <w:rFonts w:hint="eastAsia" w:ascii="仿宋_GB2312" w:hAnsi="宋体" w:eastAsia="仿宋_GB2312" w:cs="Times New Roman"/>
          <w:color w:val="auto"/>
          <w:kern w:val="2"/>
          <w:sz w:val="32"/>
          <w:szCs w:val="32"/>
          <w:lang w:val="en-US" w:eastAsia="zh-CN" w:bidi="ar-SA"/>
        </w:rPr>
        <w:t>底，完工项目验收初步验收率100%</w:t>
      </w:r>
      <w:r>
        <w:rPr>
          <w:rFonts w:hint="default"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en-US" w:eastAsia="zh-CN" w:bidi="ar-SA"/>
        </w:rPr>
        <w:t>工程验收合格率100%，已建工程不存在质量问题。4.</w:t>
      </w:r>
      <w:r>
        <w:rPr>
          <w:rFonts w:hint="default" w:ascii="仿宋_GB2312" w:hAnsi="宋体" w:eastAsia="仿宋_GB2312" w:cs="Times New Roman"/>
          <w:color w:val="auto"/>
          <w:kern w:val="2"/>
          <w:sz w:val="32"/>
          <w:szCs w:val="32"/>
          <w:lang w:val="en-US" w:eastAsia="zh-CN" w:bidi="ar-SA"/>
        </w:rPr>
        <w:t>时效指标</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zh-CN" w:eastAsia="zh-CN" w:bidi="ar-SA"/>
        </w:rPr>
        <w:t>当年完成投资省级</w:t>
      </w:r>
      <w:r>
        <w:rPr>
          <w:rFonts w:hint="eastAsia" w:ascii="仿宋_GB2312" w:hAnsi="宋体" w:eastAsia="仿宋_GB2312" w:cs="Times New Roman"/>
          <w:color w:val="auto"/>
          <w:kern w:val="2"/>
          <w:sz w:val="32"/>
          <w:szCs w:val="32"/>
          <w:lang w:val="en-US" w:eastAsia="zh-CN" w:bidi="ar-SA"/>
        </w:rPr>
        <w:t>补助</w:t>
      </w:r>
      <w:r>
        <w:rPr>
          <w:rFonts w:hint="default" w:ascii="仿宋_GB2312" w:hAnsi="宋体" w:eastAsia="仿宋_GB2312" w:cs="Times New Roman"/>
          <w:color w:val="auto"/>
          <w:kern w:val="2"/>
          <w:sz w:val="32"/>
          <w:szCs w:val="32"/>
          <w:lang w:val="zh-CN" w:eastAsia="zh-CN" w:bidi="ar-SA"/>
        </w:rPr>
        <w:t>资金均达到年度投资的</w:t>
      </w:r>
      <w:r>
        <w:rPr>
          <w:rFonts w:hint="eastAsia" w:ascii="仿宋_GB2312" w:hAnsi="宋体" w:eastAsia="仿宋_GB2312" w:cs="Times New Roman"/>
          <w:color w:val="auto"/>
          <w:kern w:val="2"/>
          <w:sz w:val="32"/>
          <w:szCs w:val="32"/>
          <w:lang w:val="en-US" w:eastAsia="zh-CN" w:bidi="ar-SA"/>
        </w:rPr>
        <w:t>10</w:t>
      </w:r>
      <w:r>
        <w:rPr>
          <w:rFonts w:hint="default" w:ascii="仿宋_GB2312" w:hAnsi="宋体" w:eastAsia="仿宋_GB2312" w:cs="Times New Roman"/>
          <w:color w:val="auto"/>
          <w:kern w:val="2"/>
          <w:sz w:val="32"/>
          <w:szCs w:val="32"/>
          <w:lang w:val="zh-CN" w:eastAsia="zh-CN" w:bidi="ar-SA"/>
        </w:rPr>
        <w:t>0%，并根据工程进度按时拨款。</w:t>
      </w:r>
      <w:r>
        <w:rPr>
          <w:rFonts w:hint="eastAsia" w:ascii="仿宋_GB2312" w:hAnsi="宋体" w:eastAsia="仿宋_GB2312" w:cs="Times New Roman"/>
          <w:color w:val="auto"/>
          <w:kern w:val="2"/>
          <w:sz w:val="32"/>
          <w:szCs w:val="32"/>
          <w:lang w:val="en-US" w:eastAsia="zh-CN" w:bidi="ar-SA"/>
        </w:rPr>
        <w:t>5.</w:t>
      </w:r>
      <w:r>
        <w:rPr>
          <w:rFonts w:hint="default" w:ascii="仿宋_GB2312" w:hAnsi="宋体" w:eastAsia="仿宋_GB2312" w:cs="Times New Roman"/>
          <w:color w:val="auto"/>
          <w:kern w:val="2"/>
          <w:sz w:val="32"/>
          <w:szCs w:val="32"/>
          <w:lang w:val="en-US" w:eastAsia="zh-CN" w:bidi="ar-SA"/>
        </w:rPr>
        <w:t>经济效益指标</w:t>
      </w:r>
      <w:r>
        <w:rPr>
          <w:rFonts w:hint="eastAsia" w:ascii="仿宋_GB2312" w:hAnsi="宋体" w:eastAsia="仿宋_GB2312" w:cs="Times New Roman"/>
          <w:color w:val="auto"/>
          <w:kern w:val="2"/>
          <w:sz w:val="32"/>
          <w:szCs w:val="32"/>
          <w:lang w:val="en-US" w:eastAsia="zh-CN" w:bidi="ar-SA"/>
        </w:rPr>
        <w:t>：保证防洪工程安全度汛，发生在洪水设计标准范围内不受影响。6.</w:t>
      </w:r>
      <w:r>
        <w:rPr>
          <w:rFonts w:hint="default" w:ascii="仿宋_GB2312" w:hAnsi="宋体" w:eastAsia="仿宋_GB2312" w:cs="Times New Roman"/>
          <w:color w:val="auto"/>
          <w:kern w:val="2"/>
          <w:sz w:val="32"/>
          <w:szCs w:val="32"/>
          <w:lang w:val="en-US" w:eastAsia="zh-CN" w:bidi="ar-SA"/>
        </w:rPr>
        <w:t>社会效益指标。</w:t>
      </w:r>
      <w:r>
        <w:rPr>
          <w:rFonts w:hint="eastAsia" w:ascii="仿宋_GB2312" w:hAnsi="宋体" w:eastAsia="仿宋_GB2312" w:cs="Times New Roman"/>
          <w:color w:val="auto"/>
          <w:kern w:val="2"/>
          <w:sz w:val="32"/>
          <w:szCs w:val="32"/>
          <w:lang w:val="en-US" w:eastAsia="zh-CN" w:bidi="ar-SA"/>
        </w:rPr>
        <w:t>保障居民社会活动平稳，发生</w:t>
      </w:r>
      <w:r>
        <w:rPr>
          <w:rFonts w:hint="default" w:ascii="仿宋_GB2312" w:hAnsi="宋体" w:eastAsia="仿宋_GB2312" w:cs="Times New Roman"/>
          <w:color w:val="auto"/>
          <w:kern w:val="2"/>
          <w:sz w:val="32"/>
          <w:szCs w:val="32"/>
          <w:lang w:val="en-US" w:eastAsia="zh-CN" w:bidi="ar-SA"/>
        </w:rPr>
        <w:t>工程设计标准内洪水</w:t>
      </w:r>
      <w:r>
        <w:rPr>
          <w:rFonts w:hint="eastAsia" w:ascii="仿宋_GB2312" w:hAnsi="宋体" w:eastAsia="仿宋_GB2312" w:cs="Times New Roman"/>
          <w:color w:val="auto"/>
          <w:kern w:val="2"/>
          <w:sz w:val="32"/>
          <w:szCs w:val="32"/>
          <w:lang w:val="en-US" w:eastAsia="zh-CN" w:bidi="ar-SA"/>
        </w:rPr>
        <w:t>不</w:t>
      </w:r>
      <w:r>
        <w:rPr>
          <w:rFonts w:hint="default" w:ascii="仿宋_GB2312" w:hAnsi="宋体" w:eastAsia="仿宋_GB2312" w:cs="Times New Roman"/>
          <w:color w:val="auto"/>
          <w:kern w:val="2"/>
          <w:sz w:val="32"/>
          <w:szCs w:val="32"/>
          <w:lang w:val="en-US" w:eastAsia="zh-CN" w:bidi="ar-SA"/>
        </w:rPr>
        <w:t>受严重影</w:t>
      </w:r>
      <w:r>
        <w:rPr>
          <w:rFonts w:hint="eastAsia" w:ascii="仿宋_GB2312" w:hAnsi="宋体" w:eastAsia="仿宋_GB2312" w:cs="Times New Roman"/>
          <w:color w:val="auto"/>
          <w:kern w:val="2"/>
          <w:sz w:val="32"/>
          <w:szCs w:val="32"/>
          <w:lang w:val="en-US" w:eastAsia="zh-CN" w:bidi="ar-SA"/>
        </w:rPr>
        <w:t>响。7.</w:t>
      </w:r>
      <w:r>
        <w:rPr>
          <w:rFonts w:hint="default" w:ascii="仿宋_GB2312" w:hAnsi="宋体" w:eastAsia="仿宋_GB2312" w:cs="Times New Roman"/>
          <w:color w:val="auto"/>
          <w:kern w:val="2"/>
          <w:sz w:val="32"/>
          <w:szCs w:val="32"/>
          <w:lang w:val="en-US" w:eastAsia="zh-CN" w:bidi="ar-SA"/>
        </w:rPr>
        <w:t>生态效益指标</w:t>
      </w:r>
      <w:r>
        <w:rPr>
          <w:rFonts w:hint="eastAsia" w:ascii="仿宋_GB2312" w:hAnsi="宋体" w:eastAsia="仿宋_GB2312" w:cs="Times New Roman"/>
          <w:color w:val="auto"/>
          <w:kern w:val="2"/>
          <w:sz w:val="32"/>
          <w:szCs w:val="32"/>
          <w:lang w:val="en-US" w:eastAsia="zh-CN" w:bidi="ar-SA"/>
        </w:rPr>
        <w:t>：促进地区生态和谐，发生</w:t>
      </w:r>
      <w:r>
        <w:rPr>
          <w:rFonts w:hint="default" w:ascii="仿宋_GB2312" w:hAnsi="宋体" w:eastAsia="仿宋_GB2312" w:cs="Times New Roman"/>
          <w:color w:val="auto"/>
          <w:kern w:val="2"/>
          <w:sz w:val="32"/>
          <w:szCs w:val="32"/>
          <w:lang w:val="en-US" w:eastAsia="zh-CN" w:bidi="ar-SA"/>
        </w:rPr>
        <w:t>工程设计标准内洪水</w:t>
      </w:r>
      <w:r>
        <w:rPr>
          <w:rFonts w:hint="eastAsia" w:ascii="仿宋_GB2312" w:hAnsi="宋体" w:eastAsia="仿宋_GB2312" w:cs="Times New Roman"/>
          <w:color w:val="auto"/>
          <w:kern w:val="2"/>
          <w:sz w:val="32"/>
          <w:szCs w:val="32"/>
          <w:lang w:val="en-US" w:eastAsia="zh-CN" w:bidi="ar-SA"/>
        </w:rPr>
        <w:t>不</w:t>
      </w:r>
      <w:r>
        <w:rPr>
          <w:rFonts w:hint="default" w:ascii="仿宋_GB2312" w:hAnsi="宋体" w:eastAsia="仿宋_GB2312" w:cs="Times New Roman"/>
          <w:color w:val="auto"/>
          <w:kern w:val="2"/>
          <w:sz w:val="32"/>
          <w:szCs w:val="32"/>
          <w:lang w:val="en-US" w:eastAsia="zh-CN" w:bidi="ar-SA"/>
        </w:rPr>
        <w:t>受严重影</w:t>
      </w:r>
      <w:r>
        <w:rPr>
          <w:rFonts w:hint="eastAsia" w:ascii="仿宋_GB2312" w:hAnsi="宋体" w:eastAsia="仿宋_GB2312" w:cs="Times New Roman"/>
          <w:color w:val="auto"/>
          <w:kern w:val="2"/>
          <w:sz w:val="32"/>
          <w:szCs w:val="32"/>
          <w:lang w:val="en-US" w:eastAsia="zh-CN" w:bidi="ar-SA"/>
        </w:rPr>
        <w:t>响</w:t>
      </w:r>
      <w:r>
        <w:rPr>
          <w:rFonts w:hint="default" w:ascii="仿宋_GB2312" w:hAnsi="宋体" w:eastAsia="仿宋_GB2312" w:cs="Times New Roman"/>
          <w:color w:val="auto"/>
          <w:kern w:val="2"/>
          <w:sz w:val="32"/>
          <w:szCs w:val="32"/>
          <w:lang w:val="en-US" w:eastAsia="zh-CN" w:bidi="ar-SA"/>
        </w:rPr>
        <w:t>。</w:t>
      </w:r>
      <w:r>
        <w:rPr>
          <w:rFonts w:hint="eastAsia" w:ascii="仿宋_GB2312" w:hAnsi="宋体" w:eastAsia="仿宋_GB2312" w:cs="Times New Roman"/>
          <w:color w:val="auto"/>
          <w:kern w:val="2"/>
          <w:sz w:val="32"/>
          <w:szCs w:val="32"/>
          <w:lang w:val="en-US" w:eastAsia="zh-CN" w:bidi="ar-SA"/>
        </w:rPr>
        <w:t>8.</w:t>
      </w:r>
      <w:r>
        <w:rPr>
          <w:rFonts w:hint="default" w:ascii="仿宋_GB2312" w:hAnsi="宋体" w:eastAsia="仿宋_GB2312" w:cs="Times New Roman"/>
          <w:color w:val="auto"/>
          <w:kern w:val="2"/>
          <w:sz w:val="32"/>
          <w:szCs w:val="32"/>
          <w:lang w:val="en-US" w:eastAsia="zh-CN" w:bidi="ar-SA"/>
        </w:rPr>
        <w:t>可持续影响指标</w:t>
      </w:r>
      <w:r>
        <w:rPr>
          <w:rFonts w:hint="eastAsia" w:ascii="仿宋_GB2312" w:hAnsi="宋体" w:eastAsia="仿宋_GB2312" w:cs="Times New Roman"/>
          <w:color w:val="auto"/>
          <w:kern w:val="2"/>
          <w:sz w:val="32"/>
          <w:szCs w:val="32"/>
          <w:lang w:val="en-US" w:eastAsia="zh-CN" w:bidi="ar-SA"/>
        </w:rPr>
        <w:t>：为国民经济持续健康发展和社会稳定提供安全保障，发生</w:t>
      </w:r>
      <w:r>
        <w:rPr>
          <w:rFonts w:hint="default" w:ascii="仿宋_GB2312" w:hAnsi="宋体" w:eastAsia="仿宋_GB2312" w:cs="Times New Roman"/>
          <w:color w:val="auto"/>
          <w:kern w:val="2"/>
          <w:sz w:val="32"/>
          <w:szCs w:val="32"/>
          <w:lang w:val="en-US" w:eastAsia="zh-CN" w:bidi="ar-SA"/>
        </w:rPr>
        <w:t>工程设计标准内洪水</w:t>
      </w:r>
      <w:r>
        <w:rPr>
          <w:rFonts w:hint="eastAsia" w:ascii="仿宋_GB2312" w:hAnsi="宋体" w:eastAsia="仿宋_GB2312" w:cs="Times New Roman"/>
          <w:color w:val="auto"/>
          <w:kern w:val="2"/>
          <w:sz w:val="32"/>
          <w:szCs w:val="32"/>
          <w:lang w:val="en-US" w:eastAsia="zh-CN" w:bidi="ar-SA"/>
        </w:rPr>
        <w:t>不</w:t>
      </w:r>
      <w:r>
        <w:rPr>
          <w:rFonts w:hint="default" w:ascii="仿宋_GB2312" w:hAnsi="宋体" w:eastAsia="仿宋_GB2312" w:cs="Times New Roman"/>
          <w:color w:val="auto"/>
          <w:kern w:val="2"/>
          <w:sz w:val="32"/>
          <w:szCs w:val="32"/>
          <w:lang w:val="en-US" w:eastAsia="zh-CN" w:bidi="ar-SA"/>
        </w:rPr>
        <w:t>受严重影</w:t>
      </w:r>
      <w:r>
        <w:rPr>
          <w:rFonts w:hint="eastAsia" w:ascii="仿宋_GB2312" w:hAnsi="宋体" w:eastAsia="仿宋_GB2312" w:cs="Times New Roman"/>
          <w:color w:val="auto"/>
          <w:kern w:val="2"/>
          <w:sz w:val="32"/>
          <w:szCs w:val="32"/>
          <w:lang w:val="en-US" w:eastAsia="zh-CN" w:bidi="ar-SA"/>
        </w:rPr>
        <w:t>响。</w:t>
      </w:r>
      <w:r>
        <w:rPr>
          <w:rFonts w:hint="default" w:ascii="仿宋_GB2312" w:hAnsi="宋体" w:eastAsia="仿宋_GB2312" w:cs="Times New Roman"/>
          <w:color w:val="auto"/>
          <w:kern w:val="2"/>
          <w:sz w:val="32"/>
          <w:szCs w:val="32"/>
          <w:lang w:val="en-US" w:eastAsia="zh-CN" w:bidi="ar-SA"/>
        </w:rPr>
        <w:t>服务对象满意度指标</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en-US" w:eastAsia="zh-CN" w:bidi="ar-SA"/>
        </w:rPr>
        <w:t>群众满意度达9</w:t>
      </w:r>
      <w:r>
        <w:rPr>
          <w:rFonts w:hint="eastAsia" w:ascii="仿宋_GB2312" w:hAnsi="宋体" w:eastAsia="仿宋_GB2312" w:cs="Times New Roman"/>
          <w:color w:val="auto"/>
          <w:kern w:val="2"/>
          <w:sz w:val="32"/>
          <w:szCs w:val="32"/>
          <w:lang w:val="en-US" w:eastAsia="zh-CN" w:bidi="ar-SA"/>
        </w:rPr>
        <w:t>0</w:t>
      </w:r>
      <w:r>
        <w:rPr>
          <w:rFonts w:hint="default" w:ascii="仿宋_GB2312" w:hAnsi="宋体" w:eastAsia="仿宋_GB2312" w:cs="Times New Roman"/>
          <w:color w:val="auto"/>
          <w:kern w:val="2"/>
          <w:sz w:val="32"/>
          <w:szCs w:val="32"/>
          <w:lang w:val="en-US" w:eastAsia="zh-CN" w:bidi="ar-SA"/>
        </w:rPr>
        <w:t>%及以上。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olor w:val="auto"/>
          <w:sz w:val="32"/>
          <w:szCs w:val="32"/>
          <w:lang w:eastAsia="zh-CN"/>
        </w:rPr>
      </w:pPr>
      <w:r>
        <w:rPr>
          <w:rFonts w:hint="eastAsia" w:ascii="黑体" w:hAnsi="宋体" w:eastAsia="黑体"/>
          <w:color w:val="auto"/>
          <w:sz w:val="32"/>
          <w:szCs w:val="32"/>
        </w:rPr>
        <w:t>二、项目实施及管理情况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b w:val="0"/>
          <w:bCs w:val="0"/>
          <w:color w:val="auto"/>
          <w:sz w:val="32"/>
          <w:szCs w:val="32"/>
          <w:lang w:val="zh-CN"/>
        </w:rPr>
      </w:pPr>
      <w:r>
        <w:rPr>
          <w:rFonts w:hint="eastAsia" w:ascii="楷体_GB2312" w:hAnsi="宋体" w:eastAsia="楷体_GB2312"/>
          <w:b w:val="0"/>
          <w:bCs w:val="0"/>
          <w:color w:val="auto"/>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default"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b/>
          <w:bCs/>
          <w:color w:val="auto"/>
          <w:kern w:val="2"/>
          <w:sz w:val="32"/>
          <w:szCs w:val="32"/>
          <w:lang w:val="zh-CN" w:eastAsia="zh-CN" w:bidi="ar-SA"/>
        </w:rPr>
        <w:t>1．资金计划及到位。</w:t>
      </w:r>
      <w:r>
        <w:rPr>
          <w:rFonts w:hint="eastAsia" w:ascii="仿宋_GB2312" w:hAnsi="宋体" w:eastAsia="仿宋_GB2312" w:cs="Times New Roman"/>
          <w:color w:val="auto"/>
          <w:kern w:val="2"/>
          <w:sz w:val="32"/>
          <w:szCs w:val="32"/>
          <w:lang w:val="zh-CN" w:eastAsia="zh-CN" w:bidi="ar-SA"/>
        </w:rPr>
        <w:t>2020年9月16日，财政厅、水利厅联合印发《四川省财政厅  四川省水利厅关于下达2020年省级水利救灾资金的通知》（川财农〔2020〕119号）</w:t>
      </w:r>
      <w:r>
        <w:rPr>
          <w:rFonts w:hint="eastAsia" w:ascii="仿宋_GB2312" w:hAnsi="宋体" w:eastAsia="仿宋_GB2312" w:cs="Times New Roman"/>
          <w:color w:val="auto"/>
          <w:kern w:val="2"/>
          <w:sz w:val="32"/>
          <w:szCs w:val="32"/>
          <w:lang w:val="en-US" w:eastAsia="zh-CN" w:bidi="ar-SA"/>
        </w:rPr>
        <w:t>下达资金300万元</w:t>
      </w:r>
      <w:r>
        <w:rPr>
          <w:rFonts w:hint="eastAsia" w:ascii="仿宋_GB2312" w:hAnsi="宋体" w:eastAsia="仿宋_GB2312" w:cs="Times New Roman"/>
          <w:color w:val="auto"/>
          <w:kern w:val="2"/>
          <w:sz w:val="32"/>
          <w:szCs w:val="32"/>
          <w:lang w:val="zh-CN" w:eastAsia="zh-CN" w:bidi="ar-SA"/>
        </w:rPr>
        <w:t>。</w:t>
      </w:r>
    </w:p>
    <w:p>
      <w:pPr>
        <w:keepNext w:val="0"/>
        <w:keepLines w:val="0"/>
        <w:pageBreakBefore w:val="0"/>
        <w:numPr>
          <w:ilvl w:val="0"/>
          <w:numId w:val="0"/>
        </w:numPr>
        <w:kinsoku/>
        <w:wordWrap/>
        <w:overflowPunct/>
        <w:topLinePunct w:val="0"/>
        <w:autoSpaceDE/>
        <w:autoSpaceDN/>
        <w:bidi w:val="0"/>
        <w:snapToGrid w:val="0"/>
        <w:spacing w:line="560" w:lineRule="exact"/>
        <w:ind w:right="0" w:rightChars="0" w:firstLine="643" w:firstLineChars="200"/>
        <w:jc w:val="both"/>
        <w:textAlignment w:val="auto"/>
        <w:rPr>
          <w:rFonts w:hint="default"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b/>
          <w:bCs/>
          <w:color w:val="auto"/>
          <w:kern w:val="2"/>
          <w:sz w:val="32"/>
          <w:szCs w:val="32"/>
          <w:lang w:val="zh-CN" w:eastAsia="zh-CN" w:bidi="ar-SA"/>
        </w:rPr>
        <w:t>2．资金使用。</w:t>
      </w:r>
      <w:r>
        <w:rPr>
          <w:rFonts w:hint="eastAsia" w:ascii="仿宋_GB2312" w:hAnsi="宋体" w:eastAsia="仿宋_GB2312" w:cs="Times New Roman"/>
          <w:color w:val="auto"/>
          <w:kern w:val="2"/>
          <w:sz w:val="32"/>
          <w:szCs w:val="32"/>
          <w:lang w:val="zh-CN" w:eastAsia="zh-CN" w:bidi="ar-SA"/>
        </w:rPr>
        <w:t>截止评价时点项目资金的实际支出</w:t>
      </w:r>
      <w:r>
        <w:rPr>
          <w:rFonts w:hint="eastAsia" w:ascii="仿宋_GB2312" w:hAnsi="宋体" w:eastAsia="仿宋_GB2312" w:cs="Times New Roman"/>
          <w:color w:val="auto"/>
          <w:kern w:val="2"/>
          <w:sz w:val="32"/>
          <w:szCs w:val="32"/>
          <w:lang w:val="en-US" w:eastAsia="zh-CN" w:bidi="ar-SA"/>
        </w:rPr>
        <w:t>300万元</w:t>
      </w:r>
      <w:r>
        <w:rPr>
          <w:rFonts w:hint="eastAsia" w:ascii="仿宋_GB2312" w:hAnsi="宋体" w:eastAsia="仿宋_GB2312" w:cs="Times New Roman"/>
          <w:color w:val="auto"/>
          <w:kern w:val="2"/>
          <w:sz w:val="32"/>
          <w:szCs w:val="32"/>
          <w:lang w:val="zh-CN" w:eastAsia="zh-CN" w:bidi="ar-SA"/>
        </w:rPr>
        <w:t>，资金开支范围</w:t>
      </w:r>
      <w:r>
        <w:rPr>
          <w:rFonts w:hint="eastAsia" w:ascii="仿宋_GB2312" w:hAnsi="宋体" w:eastAsia="仿宋_GB2312" w:cs="Times New Roman"/>
          <w:color w:val="auto"/>
          <w:kern w:val="2"/>
          <w:sz w:val="32"/>
          <w:szCs w:val="32"/>
          <w:lang w:val="en-US" w:eastAsia="zh-CN" w:bidi="ar-SA"/>
        </w:rPr>
        <w:t>整治修复水利工程16处。</w:t>
      </w:r>
      <w:r>
        <w:rPr>
          <w:rFonts w:hint="eastAsia" w:ascii="仿宋_GB2312" w:hAnsi="宋体" w:eastAsia="仿宋_GB2312"/>
          <w:color w:val="auto"/>
          <w:sz w:val="32"/>
          <w:szCs w:val="32"/>
          <w:lang w:val="zh-CN"/>
        </w:rPr>
        <w:t>严格按照水利项目建设资金管理有关规定，工程预付款、进度款、尾款等严格按照合同约定、项目实施进度拨付。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（二）项目财务管理情况</w:t>
      </w:r>
    </w:p>
    <w:p>
      <w:pPr>
        <w:keepNext w:val="0"/>
        <w:keepLines w:val="0"/>
        <w:pageBreakBefore w:val="0"/>
        <w:numPr>
          <w:ilvl w:val="0"/>
          <w:numId w:val="0"/>
        </w:numPr>
        <w:kinsoku/>
        <w:wordWrap/>
        <w:overflowPunct/>
        <w:topLinePunct w:val="0"/>
        <w:autoSpaceDE/>
        <w:autoSpaceDN/>
        <w:bidi w:val="0"/>
        <w:snapToGrid w:val="0"/>
        <w:spacing w:line="560" w:lineRule="exact"/>
        <w:ind w:right="0" w:rightChars="0" w:firstLine="640" w:firstLineChars="200"/>
        <w:jc w:val="both"/>
        <w:textAlignment w:val="auto"/>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CN" w:eastAsia="zh-CN" w:bidi="ar-SA"/>
        </w:rPr>
        <w:t>制定了较为完善工程管理、资金支付内控制度，明确规定了工程项目实施及资金支付程序；在项目实施过程中，能够履行工程相关审查审批程序</w:t>
      </w:r>
      <w:r>
        <w:rPr>
          <w:rFonts w:hint="eastAsia" w:ascii="仿宋_GB2312" w:hAnsi="宋体" w:eastAsia="仿宋_GB2312" w:cs="Times New Roman"/>
          <w:color w:val="auto"/>
          <w:kern w:val="2"/>
          <w:sz w:val="32"/>
          <w:szCs w:val="32"/>
          <w:lang w:val="en-US" w:eastAsia="zh-CN" w:bidi="ar-SA"/>
        </w:rPr>
        <w:t>,工程进度款能够按合同约定支付</w:t>
      </w:r>
      <w:r>
        <w:rPr>
          <w:rFonts w:hint="eastAsia" w:ascii="仿宋_GB2312" w:hAnsi="宋体" w:eastAsia="仿宋_GB2312" w:cs="Times New Roman"/>
          <w:color w:val="auto"/>
          <w:kern w:val="2"/>
          <w:sz w:val="32"/>
          <w:szCs w:val="32"/>
          <w:lang w:val="zh-CN" w:eastAsia="zh-CN" w:bidi="ar-SA"/>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w:t>
      </w:r>
      <w:r>
        <w:rPr>
          <w:rFonts w:hint="eastAsia" w:ascii="楷体_GB2312" w:hAnsi="宋体" w:eastAsia="楷体_GB2312"/>
          <w:b w:val="0"/>
          <w:bCs/>
          <w:color w:val="auto"/>
          <w:sz w:val="32"/>
          <w:szCs w:val="32"/>
          <w:lang w:val="en-US" w:eastAsia="zh-CN"/>
        </w:rPr>
        <w:t>三</w:t>
      </w:r>
      <w:r>
        <w:rPr>
          <w:rFonts w:hint="eastAsia" w:ascii="楷体_GB2312" w:hAnsi="宋体" w:eastAsia="楷体_GB2312"/>
          <w:b w:val="0"/>
          <w:bCs/>
          <w:color w:val="auto"/>
          <w:sz w:val="32"/>
          <w:szCs w:val="32"/>
          <w:lang w:val="zh-CN"/>
        </w:rPr>
        <w:t>）项目组织实施情况</w:t>
      </w:r>
    </w:p>
    <w:p>
      <w:pPr>
        <w:keepNext w:val="0"/>
        <w:keepLines w:val="0"/>
        <w:pageBreakBefore w:val="0"/>
        <w:numPr>
          <w:ilvl w:val="0"/>
          <w:numId w:val="0"/>
        </w:numPr>
        <w:kinsoku/>
        <w:wordWrap/>
        <w:overflowPunct/>
        <w:topLinePunct w:val="0"/>
        <w:autoSpaceDE/>
        <w:autoSpaceDN/>
        <w:bidi w:val="0"/>
        <w:snapToGrid w:val="0"/>
        <w:spacing w:line="560" w:lineRule="exact"/>
        <w:ind w:right="0" w:rightChars="0" w:firstLine="640" w:firstLineChars="200"/>
        <w:jc w:val="both"/>
        <w:textAlignment w:val="auto"/>
        <w:rPr>
          <w:rFonts w:hint="default"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CN" w:eastAsia="zh-CN" w:bidi="ar-SA"/>
        </w:rPr>
        <w:t>四川省都江堰人民渠第二管理处2020年暴雨洪灾水毁工程</w:t>
      </w:r>
      <w:r>
        <w:rPr>
          <w:rFonts w:hint="eastAsia" w:ascii="仿宋_GB2312" w:hAnsi="宋体" w:eastAsia="仿宋_GB2312" w:cs="Times New Roman"/>
          <w:color w:val="auto"/>
          <w:kern w:val="2"/>
          <w:sz w:val="32"/>
          <w:szCs w:val="32"/>
          <w:lang w:val="en-US" w:eastAsia="zh-CN" w:bidi="ar-SA"/>
        </w:rPr>
        <w:t>通过竞争性磋商于</w:t>
      </w:r>
      <w:r>
        <w:rPr>
          <w:rFonts w:hint="eastAsia" w:ascii="仿宋_GB2312" w:hAnsi="宋体" w:eastAsia="仿宋_GB2312" w:cs="Times New Roman"/>
          <w:color w:val="auto"/>
          <w:kern w:val="2"/>
          <w:sz w:val="32"/>
          <w:szCs w:val="32"/>
          <w:lang w:val="zh-CN" w:eastAsia="zh-CN" w:bidi="ar-SA"/>
        </w:rPr>
        <w:t>2020</w:t>
      </w:r>
      <w:r>
        <w:rPr>
          <w:rFonts w:hint="eastAsia" w:ascii="仿宋_GB2312" w:hAnsi="宋体" w:eastAsia="仿宋_GB2312" w:cs="Times New Roman"/>
          <w:color w:val="auto"/>
          <w:kern w:val="2"/>
          <w:sz w:val="32"/>
          <w:szCs w:val="32"/>
          <w:lang w:val="en-US" w:eastAsia="zh-CN" w:bidi="ar-SA"/>
        </w:rPr>
        <w:t>年12月7日确定施工单位。人民渠二处</w:t>
      </w:r>
      <w:r>
        <w:rPr>
          <w:rFonts w:hint="default" w:ascii="仿宋_GB2312" w:hAnsi="宋体" w:eastAsia="仿宋_GB2312" w:cs="Times New Roman"/>
          <w:color w:val="auto"/>
          <w:kern w:val="2"/>
          <w:sz w:val="32"/>
          <w:szCs w:val="32"/>
          <w:lang w:val="zh-CN" w:eastAsia="zh-CN" w:bidi="ar-SA"/>
        </w:rPr>
        <w:t>严格遵循相关制度和项目管理规定，高度重视项目推进工作，成立</w:t>
      </w:r>
      <w:r>
        <w:rPr>
          <w:rFonts w:hint="eastAsia" w:ascii="仿宋_GB2312" w:hAnsi="宋体" w:eastAsia="仿宋_GB2312" w:cs="Times New Roman"/>
          <w:color w:val="auto"/>
          <w:kern w:val="2"/>
          <w:sz w:val="32"/>
          <w:szCs w:val="32"/>
          <w:lang w:val="en-US" w:eastAsia="zh-CN" w:bidi="ar-SA"/>
        </w:rPr>
        <w:t>了已人民渠二处行政负责人为组长的</w:t>
      </w:r>
      <w:r>
        <w:rPr>
          <w:rFonts w:hint="eastAsia" w:ascii="仿宋_GB2312" w:hAnsi="宋体" w:eastAsia="仿宋_GB2312" w:cs="Times New Roman"/>
          <w:color w:val="auto"/>
          <w:kern w:val="2"/>
          <w:sz w:val="32"/>
          <w:szCs w:val="32"/>
          <w:lang w:val="zh-CN" w:eastAsia="zh-CN" w:bidi="ar-SA"/>
        </w:rPr>
        <w:t>四川省都江堰人民渠第二管理处2020年暴雨洪灾水毁工程领导小组，</w:t>
      </w:r>
      <w:r>
        <w:rPr>
          <w:rFonts w:hint="eastAsia" w:ascii="仿宋_GB2312" w:hAnsi="宋体" w:eastAsia="仿宋_GB2312" w:cs="Times New Roman"/>
          <w:color w:val="auto"/>
          <w:kern w:val="2"/>
          <w:sz w:val="32"/>
          <w:szCs w:val="32"/>
          <w:lang w:val="en-US" w:eastAsia="zh-CN" w:bidi="ar-SA"/>
        </w:rPr>
        <w:t>并成立了</w:t>
      </w:r>
      <w:r>
        <w:rPr>
          <w:rFonts w:hint="eastAsia" w:ascii="仿宋_GB2312" w:hAnsi="宋体" w:eastAsia="仿宋_GB2312" w:cs="Times New Roman"/>
          <w:color w:val="auto"/>
          <w:kern w:val="2"/>
          <w:sz w:val="32"/>
          <w:szCs w:val="32"/>
          <w:lang w:val="zh-CN" w:eastAsia="zh-CN" w:bidi="ar-SA"/>
        </w:rPr>
        <w:t>项目部</w:t>
      </w:r>
      <w:r>
        <w:rPr>
          <w:rFonts w:hint="eastAsia" w:ascii="仿宋_GB2312" w:hAnsi="宋体" w:eastAsia="仿宋_GB2312" w:cs="Times New Roman"/>
          <w:color w:val="auto"/>
          <w:kern w:val="2"/>
          <w:sz w:val="32"/>
          <w:szCs w:val="32"/>
          <w:lang w:val="en-US" w:eastAsia="zh-CN" w:bidi="ar-SA"/>
        </w:rPr>
        <w:t>组织机构</w:t>
      </w:r>
      <w:r>
        <w:rPr>
          <w:rFonts w:hint="default" w:ascii="仿宋_GB2312" w:hAnsi="宋体" w:eastAsia="仿宋_GB2312" w:cs="Times New Roman"/>
          <w:color w:val="auto"/>
          <w:kern w:val="2"/>
          <w:sz w:val="32"/>
          <w:szCs w:val="32"/>
          <w:lang w:val="zh-CN" w:eastAsia="zh-CN" w:bidi="ar-SA"/>
        </w:rPr>
        <w:t>。为有效推进项目建设，项目施工方明确工作任务、倒排工期，加大对项目建设监管力度，保障项目安全和质量，为项目的顺利实施打下坚实的基础。</w:t>
      </w:r>
      <w:r>
        <w:rPr>
          <w:rFonts w:hint="eastAsia" w:ascii="仿宋_GB2312" w:hAnsi="宋体" w:eastAsia="仿宋_GB2312" w:cs="Times New Roman"/>
          <w:color w:val="auto"/>
          <w:kern w:val="2"/>
          <w:sz w:val="32"/>
          <w:szCs w:val="32"/>
          <w:lang w:val="zh-CN" w:eastAsia="zh-CN" w:bidi="ar-SA"/>
        </w:rPr>
        <w:t>设计单位以科学的态度根据现场完善优化设计，确保工程建设安全、资金使用高效；施工单位派驻项目经理、技术负责人及现场、安全等相关人员，按照建设程序严格管理，各司其职，做到安全生产、文明施工；监理单位严格履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eastAsia" w:eastAsia="黑体" w:cs="Times New Roman"/>
          <w:b w:val="0"/>
          <w:bCs w:val="0"/>
          <w:color w:val="auto"/>
          <w:sz w:val="32"/>
          <w:szCs w:val="32"/>
          <w:highlight w:val="none"/>
          <w:lang w:val="en-US" w:eastAsia="zh-CN"/>
        </w:rPr>
        <w:t>三、</w:t>
      </w:r>
      <w:r>
        <w:rPr>
          <w:rFonts w:hint="default" w:ascii="Times New Roman" w:hAnsi="Times New Roman" w:eastAsia="黑体" w:cs="Times New Roman"/>
          <w:b w:val="0"/>
          <w:bCs w:val="0"/>
          <w:color w:val="auto"/>
          <w:sz w:val="32"/>
          <w:szCs w:val="32"/>
          <w:highlight w:val="none"/>
        </w:rPr>
        <w:t>评价工作开展情况</w:t>
      </w:r>
    </w:p>
    <w:p>
      <w:pPr>
        <w:keepNext w:val="0"/>
        <w:keepLines w:val="0"/>
        <w:pageBreakBefore w:val="0"/>
        <w:numPr>
          <w:ilvl w:val="0"/>
          <w:numId w:val="0"/>
        </w:numPr>
        <w:kinsoku/>
        <w:wordWrap/>
        <w:overflowPunct/>
        <w:topLinePunct w:val="0"/>
        <w:autoSpaceDE/>
        <w:autoSpaceDN/>
        <w:bidi w:val="0"/>
        <w:snapToGrid w:val="0"/>
        <w:spacing w:line="560" w:lineRule="exact"/>
        <w:ind w:right="0" w:rightChars="0" w:firstLine="640" w:firstLineChars="200"/>
        <w:jc w:val="both"/>
        <w:textAlignment w:val="auto"/>
        <w:rPr>
          <w:rFonts w:hint="default" w:ascii="仿宋_GB2312" w:hAnsi="宋体" w:eastAsia="仿宋_GB2312" w:cs="Times New Roman"/>
          <w:color w:val="auto"/>
          <w:kern w:val="2"/>
          <w:sz w:val="32"/>
          <w:szCs w:val="32"/>
          <w:lang w:val="zh-CN" w:eastAsia="zh-CN" w:bidi="ar-SA"/>
        </w:rPr>
      </w:pPr>
      <w:r>
        <w:rPr>
          <w:rFonts w:hint="default" w:ascii="仿宋_GB2312" w:hAnsi="宋体" w:eastAsia="仿宋_GB2312" w:cs="Times New Roman"/>
          <w:color w:val="auto"/>
          <w:kern w:val="2"/>
          <w:sz w:val="32"/>
          <w:szCs w:val="32"/>
          <w:lang w:val="zh-CN" w:eastAsia="zh-CN" w:bidi="ar-SA"/>
        </w:rPr>
        <w:t>按照《财政厅关于2021年部门、政策和项目支出绩效评价工作的通知》，厅财务处参照《财政部关于印发〈项目支出绩效评价管理办法〉的通知》（财预〔2020〕10号）内容，结合单位自身项目实际，对照项目逐一设置考核指标。</w:t>
      </w:r>
    </w:p>
    <w:p>
      <w:pPr>
        <w:keepNext w:val="0"/>
        <w:keepLines w:val="0"/>
        <w:pageBreakBefore w:val="0"/>
        <w:widowControl w:val="0"/>
        <w:numPr>
          <w:ilvl w:val="0"/>
          <w:numId w:val="0"/>
        </w:numPr>
        <w:kinsoku/>
        <w:wordWrap/>
        <w:overflowPunct/>
        <w:topLinePunct w:val="0"/>
        <w:autoSpaceDE/>
        <w:autoSpaceDN/>
        <w:bidi w:val="0"/>
        <w:snapToGrid w:val="0"/>
        <w:spacing w:line="558" w:lineRule="exact"/>
        <w:ind w:right="0" w:rightChars="0" w:firstLine="640" w:firstLineChars="200"/>
        <w:jc w:val="both"/>
        <w:textAlignment w:val="auto"/>
        <w:rPr>
          <w:rFonts w:hint="default" w:ascii="仿宋_GB2312" w:hAnsi="宋体" w:eastAsia="仿宋_GB2312" w:cs="Times New Roman"/>
          <w:color w:val="auto"/>
          <w:kern w:val="2"/>
          <w:sz w:val="32"/>
          <w:szCs w:val="32"/>
          <w:lang w:val="zh-CN" w:eastAsia="zh-CN" w:bidi="ar-SA"/>
        </w:rPr>
      </w:pPr>
      <w:r>
        <w:rPr>
          <w:rFonts w:hint="default" w:ascii="仿宋_GB2312" w:hAnsi="宋体" w:eastAsia="仿宋_GB2312" w:cs="Times New Roman"/>
          <w:color w:val="auto"/>
          <w:kern w:val="2"/>
          <w:sz w:val="32"/>
          <w:szCs w:val="32"/>
          <w:lang w:val="zh-CN" w:eastAsia="zh-CN" w:bidi="ar-SA"/>
        </w:rPr>
        <w:t>2020年6月18日组织人员对“</w:t>
      </w:r>
      <w:r>
        <w:rPr>
          <w:rFonts w:hint="eastAsia" w:ascii="仿宋_GB2312" w:hAnsi="宋体" w:eastAsia="仿宋_GB2312" w:cs="Times New Roman"/>
          <w:color w:val="auto"/>
          <w:kern w:val="2"/>
          <w:sz w:val="32"/>
          <w:szCs w:val="32"/>
          <w:lang w:val="zh-CN" w:eastAsia="zh-CN" w:bidi="ar-SA"/>
        </w:rPr>
        <w:t>四川省都江堰人民渠第二管理处2020年暴雨洪灾水毁工程</w:t>
      </w:r>
      <w:r>
        <w:rPr>
          <w:rFonts w:hint="default" w:ascii="仿宋_GB2312" w:hAnsi="宋体" w:eastAsia="仿宋_GB2312" w:cs="Times New Roman"/>
          <w:color w:val="auto"/>
          <w:kern w:val="2"/>
          <w:sz w:val="32"/>
          <w:szCs w:val="32"/>
          <w:lang w:val="zh-CN" w:eastAsia="zh-CN" w:bidi="ar-SA"/>
        </w:rPr>
        <w:t>”认真开展绩效自评，并出具自评报告。</w:t>
      </w:r>
    </w:p>
    <w:p>
      <w:pPr>
        <w:keepNext w:val="0"/>
        <w:keepLines w:val="0"/>
        <w:pageBreakBefore w:val="0"/>
        <w:widowControl w:val="0"/>
        <w:kinsoku/>
        <w:wordWrap/>
        <w:overflowPunct/>
        <w:topLinePunct w:val="0"/>
        <w:autoSpaceDE/>
        <w:autoSpaceDN/>
        <w:bidi w:val="0"/>
        <w:adjustRightInd/>
        <w:spacing w:line="558" w:lineRule="exact"/>
        <w:ind w:left="0" w:firstLine="640" w:firstLineChars="200"/>
        <w:textAlignment w:val="auto"/>
        <w:rPr>
          <w:rFonts w:hint="default" w:ascii="Times New Roman" w:hAnsi="Times New Roman" w:eastAsia="黑体" w:cs="Times New Roman"/>
          <w:b w:val="0"/>
          <w:bCs w:val="0"/>
          <w:color w:val="auto"/>
          <w:sz w:val="32"/>
          <w:szCs w:val="32"/>
          <w:highlight w:val="none"/>
        </w:rPr>
      </w:pPr>
      <w:r>
        <w:rPr>
          <w:rFonts w:hint="eastAsia" w:eastAsia="黑体" w:cs="Times New Roman"/>
          <w:b w:val="0"/>
          <w:bCs w:val="0"/>
          <w:color w:val="auto"/>
          <w:sz w:val="32"/>
          <w:szCs w:val="32"/>
          <w:highlight w:val="none"/>
          <w:lang w:val="en-US" w:eastAsia="zh-CN"/>
        </w:rPr>
        <w:t>四、</w:t>
      </w:r>
      <w:r>
        <w:rPr>
          <w:rFonts w:hint="default" w:ascii="Times New Roman" w:hAnsi="Times New Roman" w:eastAsia="黑体" w:cs="Times New Roman"/>
          <w:b w:val="0"/>
          <w:bCs w:val="0"/>
          <w:color w:val="auto"/>
          <w:sz w:val="32"/>
          <w:szCs w:val="32"/>
          <w:highlight w:val="none"/>
        </w:rPr>
        <w:t>综合评价结论</w:t>
      </w:r>
    </w:p>
    <w:p>
      <w:pPr>
        <w:keepNext w:val="0"/>
        <w:keepLines w:val="0"/>
        <w:pageBreakBefore w:val="0"/>
        <w:widowControl w:val="0"/>
        <w:kinsoku/>
        <w:wordWrap/>
        <w:overflowPunct/>
        <w:topLinePunct w:val="0"/>
        <w:autoSpaceDE/>
        <w:autoSpaceDN/>
        <w:bidi w:val="0"/>
        <w:adjustRightInd/>
        <w:spacing w:line="558" w:lineRule="exact"/>
        <w:ind w:left="0" w:firstLine="640" w:firstLineChars="200"/>
        <w:textAlignment w:val="auto"/>
        <w:rPr>
          <w:rFonts w:hint="default" w:ascii="Times New Roman" w:hAnsi="Times New Roman" w:eastAsia="仿宋" w:cs="Times New Roman"/>
          <w:color w:val="auto"/>
          <w:sz w:val="32"/>
          <w:szCs w:val="40"/>
          <w:highlight w:val="none"/>
        </w:rPr>
      </w:pPr>
      <w:r>
        <w:rPr>
          <w:rFonts w:hint="default" w:ascii="Times New Roman" w:hAnsi="Times New Roman" w:eastAsia="仿宋" w:cs="Times New Roman"/>
          <w:color w:val="auto"/>
          <w:sz w:val="32"/>
          <w:szCs w:val="40"/>
          <w:highlight w:val="none"/>
        </w:rPr>
        <w:t>经过自评，综合自评评级为“优”。</w:t>
      </w:r>
    </w:p>
    <w:p>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ascii="仿宋_GB2312" w:hAnsi="宋体" w:eastAsia="仿宋_GB2312"/>
          <w:color w:val="auto"/>
          <w:sz w:val="32"/>
          <w:szCs w:val="32"/>
          <w:lang w:val="zh-CN"/>
        </w:rPr>
      </w:pPr>
      <w:r>
        <w:rPr>
          <w:rFonts w:hint="eastAsia" w:ascii="黑体" w:hAnsi="宋体" w:eastAsia="黑体"/>
          <w:color w:val="auto"/>
          <w:sz w:val="32"/>
          <w:szCs w:val="32"/>
          <w:lang w:val="en-US" w:eastAsia="zh-CN"/>
        </w:rPr>
        <w:t>五、</w:t>
      </w:r>
      <w:r>
        <w:rPr>
          <w:rFonts w:hint="eastAsia" w:ascii="黑体" w:hAnsi="宋体" w:eastAsia="黑体"/>
          <w:color w:val="auto"/>
          <w:sz w:val="32"/>
          <w:szCs w:val="32"/>
        </w:rPr>
        <w:t>项目绩效情况</w:t>
      </w:r>
      <w:r>
        <w:rPr>
          <w:rFonts w:hint="eastAsia" w:ascii="仿宋_GB2312" w:hAnsi="宋体" w:eastAsia="仿宋_GB2312"/>
          <w:color w:val="auto"/>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58" w:lineRule="exact"/>
        <w:ind w:firstLine="720"/>
        <w:textAlignment w:val="auto"/>
        <w:rPr>
          <w:rFonts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（一）项目完成情况</w:t>
      </w:r>
    </w:p>
    <w:p>
      <w:pPr>
        <w:keepNext w:val="0"/>
        <w:keepLines w:val="0"/>
        <w:pageBreakBefore w:val="0"/>
        <w:widowControl w:val="0"/>
        <w:numPr>
          <w:ilvl w:val="0"/>
          <w:numId w:val="0"/>
        </w:numPr>
        <w:kinsoku/>
        <w:wordWrap/>
        <w:overflowPunct/>
        <w:topLinePunct w:val="0"/>
        <w:autoSpaceDE/>
        <w:autoSpaceDN/>
        <w:bidi w:val="0"/>
        <w:snapToGrid w:val="0"/>
        <w:spacing w:line="558" w:lineRule="exact"/>
        <w:ind w:right="0" w:rightChars="0" w:firstLine="640" w:firstLineChars="200"/>
        <w:jc w:val="both"/>
        <w:textAlignment w:val="auto"/>
        <w:rPr>
          <w:rFonts w:hint="default" w:ascii="仿宋_GB2312" w:hAnsi="宋体" w:eastAsia="仿宋_GB2312" w:cs="Times New Roman"/>
          <w:color w:val="auto"/>
          <w:kern w:val="2"/>
          <w:sz w:val="32"/>
          <w:szCs w:val="32"/>
          <w:lang w:val="zh-CN" w:eastAsia="zh-CN" w:bidi="ar-SA"/>
        </w:rPr>
      </w:pPr>
      <w:r>
        <w:rPr>
          <w:rFonts w:hint="default" w:ascii="仿宋_GB2312" w:hAnsi="宋体" w:eastAsia="仿宋_GB2312" w:cs="Times New Roman"/>
          <w:color w:val="auto"/>
          <w:kern w:val="2"/>
          <w:sz w:val="32"/>
          <w:szCs w:val="32"/>
          <w:lang w:val="zh-CN" w:eastAsia="zh-CN" w:bidi="ar-SA"/>
        </w:rPr>
        <w:t>2020年</w:t>
      </w:r>
      <w:r>
        <w:rPr>
          <w:rFonts w:hint="eastAsia" w:ascii="仿宋_GB2312" w:hAnsi="宋体" w:eastAsia="仿宋_GB2312" w:cs="Times New Roman"/>
          <w:color w:val="auto"/>
          <w:kern w:val="2"/>
          <w:sz w:val="32"/>
          <w:szCs w:val="32"/>
          <w:lang w:val="en-US" w:eastAsia="zh-CN" w:bidi="ar-SA"/>
        </w:rPr>
        <w:t>底</w:t>
      </w:r>
      <w:r>
        <w:rPr>
          <w:rFonts w:hint="default" w:ascii="仿宋_GB2312" w:hAnsi="宋体" w:eastAsia="仿宋_GB2312" w:cs="Times New Roman"/>
          <w:color w:val="auto"/>
          <w:kern w:val="2"/>
          <w:sz w:val="32"/>
          <w:szCs w:val="32"/>
          <w:lang w:val="zh-CN" w:eastAsia="zh-CN" w:bidi="ar-SA"/>
        </w:rPr>
        <w:t>完成省级</w:t>
      </w:r>
      <w:r>
        <w:rPr>
          <w:rFonts w:hint="eastAsia" w:ascii="仿宋_GB2312" w:hAnsi="宋体" w:eastAsia="仿宋_GB2312" w:cs="Times New Roman"/>
          <w:color w:val="auto"/>
          <w:kern w:val="2"/>
          <w:sz w:val="32"/>
          <w:szCs w:val="32"/>
          <w:lang w:val="en-US" w:eastAsia="zh-CN" w:bidi="ar-SA"/>
        </w:rPr>
        <w:t>救灾</w:t>
      </w:r>
      <w:r>
        <w:rPr>
          <w:rFonts w:hint="default" w:ascii="仿宋_GB2312" w:hAnsi="宋体" w:eastAsia="仿宋_GB2312" w:cs="Times New Roman"/>
          <w:color w:val="auto"/>
          <w:kern w:val="2"/>
          <w:sz w:val="32"/>
          <w:szCs w:val="32"/>
          <w:lang w:val="zh-CN" w:eastAsia="zh-CN" w:bidi="ar-SA"/>
        </w:rPr>
        <w:t>资金</w:t>
      </w:r>
      <w:r>
        <w:rPr>
          <w:rFonts w:hint="eastAsia" w:ascii="仿宋_GB2312" w:hAnsi="宋体" w:eastAsia="仿宋_GB2312" w:cs="Times New Roman"/>
          <w:color w:val="auto"/>
          <w:kern w:val="2"/>
          <w:sz w:val="32"/>
          <w:szCs w:val="32"/>
          <w:lang w:val="en-US" w:eastAsia="zh-CN" w:bidi="ar-SA"/>
        </w:rPr>
        <w:t>300</w:t>
      </w:r>
      <w:r>
        <w:rPr>
          <w:rFonts w:hint="default" w:ascii="仿宋_GB2312" w:hAnsi="宋体" w:eastAsia="仿宋_GB2312" w:cs="Times New Roman"/>
          <w:color w:val="auto"/>
          <w:kern w:val="2"/>
          <w:sz w:val="32"/>
          <w:szCs w:val="32"/>
          <w:lang w:val="zh-CN" w:eastAsia="zh-CN" w:bidi="ar-SA"/>
        </w:rPr>
        <w:t>万元，</w:t>
      </w:r>
      <w:r>
        <w:rPr>
          <w:rFonts w:hint="eastAsia" w:ascii="仿宋_GB2312" w:hAnsi="宋体" w:eastAsia="仿宋_GB2312" w:cs="Times New Roman"/>
          <w:color w:val="auto"/>
          <w:kern w:val="2"/>
          <w:sz w:val="32"/>
          <w:szCs w:val="32"/>
          <w:lang w:val="en-US" w:eastAsia="zh-CN" w:bidi="ar-SA"/>
        </w:rPr>
        <w:t>整治修复完成水利工程16处。整治内容包括：1.明渠边坡垮塌整治15处；泄洪排水整治1处，各项指标</w:t>
      </w:r>
      <w:r>
        <w:rPr>
          <w:rFonts w:hint="default" w:ascii="仿宋_GB2312" w:hAnsi="宋体" w:eastAsia="仿宋_GB2312" w:cs="Times New Roman"/>
          <w:color w:val="auto"/>
          <w:kern w:val="2"/>
          <w:sz w:val="32"/>
          <w:szCs w:val="32"/>
          <w:lang w:val="zh-CN" w:eastAsia="zh-CN" w:bidi="ar-SA"/>
        </w:rPr>
        <w:t>均完成年度绩效目标。</w:t>
      </w:r>
      <w:r>
        <w:rPr>
          <w:rFonts w:hint="eastAsia" w:ascii="仿宋_GB2312" w:hAnsi="宋体" w:eastAsia="仿宋_GB2312" w:cs="Times New Roman"/>
          <w:color w:val="auto"/>
          <w:kern w:val="2"/>
          <w:sz w:val="32"/>
          <w:szCs w:val="32"/>
          <w:lang w:val="en-US" w:eastAsia="zh-CN" w:bidi="ar-SA"/>
        </w:rPr>
        <w:t>截止</w:t>
      </w:r>
      <w:r>
        <w:rPr>
          <w:rFonts w:hint="default" w:ascii="仿宋_GB2312" w:hAnsi="宋体" w:eastAsia="仿宋_GB2312" w:cs="Times New Roman"/>
          <w:color w:val="auto"/>
          <w:kern w:val="2"/>
          <w:sz w:val="32"/>
          <w:szCs w:val="32"/>
          <w:lang w:val="zh-CN" w:eastAsia="zh-CN" w:bidi="ar-SA"/>
        </w:rPr>
        <w:t>2020年</w:t>
      </w:r>
      <w:r>
        <w:rPr>
          <w:rFonts w:hint="eastAsia" w:ascii="仿宋_GB2312" w:hAnsi="宋体" w:eastAsia="仿宋_GB2312" w:cs="Times New Roman"/>
          <w:color w:val="auto"/>
          <w:kern w:val="2"/>
          <w:sz w:val="32"/>
          <w:szCs w:val="32"/>
          <w:lang w:val="en-US" w:eastAsia="zh-CN" w:bidi="ar-SA"/>
        </w:rPr>
        <w:t>底，完工项目验收初步验收率100%</w:t>
      </w:r>
      <w:r>
        <w:rPr>
          <w:rFonts w:hint="default" w:ascii="仿宋_GB2312" w:hAnsi="宋体" w:eastAsia="仿宋_GB2312" w:cs="Times New Roman"/>
          <w:color w:val="auto"/>
          <w:kern w:val="2"/>
          <w:sz w:val="32"/>
          <w:szCs w:val="32"/>
          <w:lang w:val="zh-CN" w:eastAsia="zh-CN" w:bidi="ar-SA"/>
        </w:rPr>
        <w:t>。</w:t>
      </w:r>
      <w:r>
        <w:rPr>
          <w:rFonts w:hint="eastAsia" w:ascii="仿宋_GB2312" w:hAnsi="宋体" w:eastAsia="仿宋_GB2312" w:cs="Times New Roman"/>
          <w:color w:val="auto"/>
          <w:kern w:val="2"/>
          <w:sz w:val="32"/>
          <w:szCs w:val="32"/>
          <w:lang w:val="en-US" w:eastAsia="zh-CN" w:bidi="ar-SA"/>
        </w:rPr>
        <w:t>工程验收合格率100%，已建工程不存在质量问题</w:t>
      </w:r>
      <w:r>
        <w:rPr>
          <w:rFonts w:hint="default" w:ascii="仿宋_GB2312" w:hAnsi="宋体" w:eastAsia="仿宋_GB2312" w:cs="Times New Roman"/>
          <w:color w:val="auto"/>
          <w:kern w:val="2"/>
          <w:sz w:val="32"/>
          <w:szCs w:val="32"/>
          <w:lang w:val="zh-CN" w:eastAsia="zh-CN" w:bidi="ar-SA"/>
        </w:rPr>
        <w:t>。</w:t>
      </w:r>
      <w:r>
        <w:rPr>
          <w:rFonts w:hint="default" w:ascii="仿宋_GB2312" w:hAnsi="宋体" w:eastAsia="仿宋_GB2312" w:cs="Times New Roman"/>
          <w:color w:val="auto"/>
          <w:kern w:val="2"/>
          <w:sz w:val="32"/>
          <w:szCs w:val="32"/>
          <w:lang w:val="en-US" w:eastAsia="zh-CN" w:bidi="ar-SA"/>
        </w:rPr>
        <w:t>项目资金到位率为100%；预算执行率为</w:t>
      </w:r>
      <w:r>
        <w:rPr>
          <w:rFonts w:hint="eastAsia" w:ascii="仿宋_GB2312" w:hAnsi="宋体" w:eastAsia="仿宋_GB2312" w:cs="Times New Roman"/>
          <w:color w:val="auto"/>
          <w:kern w:val="2"/>
          <w:sz w:val="32"/>
          <w:szCs w:val="32"/>
          <w:lang w:val="en-US" w:eastAsia="zh-CN" w:bidi="ar-SA"/>
        </w:rPr>
        <w:t>100</w:t>
      </w:r>
      <w:r>
        <w:rPr>
          <w:rFonts w:hint="default" w:ascii="仿宋_GB2312" w:hAnsi="宋体" w:eastAsia="仿宋_GB2312" w:cs="Times New Roman"/>
          <w:color w:val="auto"/>
          <w:kern w:val="2"/>
          <w:sz w:val="32"/>
          <w:szCs w:val="32"/>
          <w:lang w:val="en-US" w:eastAsia="zh-CN" w:bidi="ar-SA"/>
        </w:rPr>
        <w:t>%；资金使用合规，符合国家财经法规和财务管理制度，符合项目预算批复的内容；项目管理制度健全，管理制度合法、合规；项目实施符合相关管理规定。</w:t>
      </w:r>
    </w:p>
    <w:p>
      <w:pPr>
        <w:keepNext w:val="0"/>
        <w:keepLines w:val="0"/>
        <w:pageBreakBefore w:val="0"/>
        <w:widowControl w:val="0"/>
        <w:numPr>
          <w:ilvl w:val="0"/>
          <w:numId w:val="0"/>
        </w:numPr>
        <w:kinsoku/>
        <w:wordWrap/>
        <w:overflowPunct/>
        <w:topLinePunct w:val="0"/>
        <w:autoSpaceDE/>
        <w:autoSpaceDN/>
        <w:bidi w:val="0"/>
        <w:snapToGrid w:val="0"/>
        <w:spacing w:line="558" w:lineRule="exact"/>
        <w:ind w:leftChars="200" w:right="0" w:rightChars="0" w:firstLine="320" w:firstLineChars="100"/>
        <w:jc w:val="both"/>
        <w:textAlignment w:val="auto"/>
        <w:rPr>
          <w:rFonts w:hint="eastAsia" w:ascii="楷体_GB2312" w:hAnsi="宋体" w:eastAsia="楷体_GB2312"/>
          <w:b w:val="0"/>
          <w:bCs/>
          <w:color w:val="auto"/>
          <w:sz w:val="32"/>
          <w:szCs w:val="32"/>
          <w:lang w:val="zh-CN"/>
        </w:rPr>
      </w:pPr>
      <w:r>
        <w:rPr>
          <w:rFonts w:hint="eastAsia" w:ascii="楷体_GB2312" w:hAnsi="宋体" w:eastAsia="楷体_GB2312"/>
          <w:b w:val="0"/>
          <w:bCs/>
          <w:color w:val="auto"/>
          <w:sz w:val="32"/>
          <w:szCs w:val="32"/>
          <w:lang w:val="zh-CN"/>
        </w:rPr>
        <w:t>（</w:t>
      </w:r>
      <w:r>
        <w:rPr>
          <w:rFonts w:hint="eastAsia" w:ascii="楷体_GB2312" w:hAnsi="宋体" w:eastAsia="楷体_GB2312"/>
          <w:b w:val="0"/>
          <w:bCs/>
          <w:color w:val="auto"/>
          <w:sz w:val="32"/>
          <w:szCs w:val="32"/>
          <w:lang w:val="en-US" w:eastAsia="zh-CN"/>
        </w:rPr>
        <w:t>二</w:t>
      </w:r>
      <w:r>
        <w:rPr>
          <w:rFonts w:hint="eastAsia" w:ascii="楷体_GB2312" w:hAnsi="宋体" w:eastAsia="楷体_GB2312"/>
          <w:b w:val="0"/>
          <w:bCs/>
          <w:color w:val="auto"/>
          <w:sz w:val="32"/>
          <w:szCs w:val="32"/>
          <w:lang w:val="zh-CN"/>
        </w:rPr>
        <w:t>）项目效益情况</w:t>
      </w:r>
    </w:p>
    <w:p>
      <w:pPr>
        <w:keepNext w:val="0"/>
        <w:keepLines w:val="0"/>
        <w:pageBreakBefore w:val="0"/>
        <w:widowControl w:val="0"/>
        <w:numPr>
          <w:ilvl w:val="0"/>
          <w:numId w:val="0"/>
        </w:numPr>
        <w:kinsoku/>
        <w:wordWrap/>
        <w:overflowPunct/>
        <w:topLinePunct w:val="0"/>
        <w:autoSpaceDE/>
        <w:autoSpaceDN/>
        <w:bidi w:val="0"/>
        <w:snapToGrid w:val="0"/>
        <w:spacing w:line="558" w:lineRule="exact"/>
        <w:ind w:right="0" w:rightChars="0" w:firstLine="640" w:firstLineChars="200"/>
        <w:jc w:val="both"/>
        <w:textAlignment w:val="auto"/>
        <w:rPr>
          <w:rFonts w:hint="default"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en-US" w:eastAsia="zh-CN" w:bidi="ar-SA"/>
        </w:rPr>
        <w:t>恢复</w:t>
      </w:r>
      <w:r>
        <w:rPr>
          <w:rFonts w:hint="default" w:ascii="仿宋_GB2312" w:hAnsi="宋体" w:eastAsia="仿宋_GB2312" w:cs="Times New Roman"/>
          <w:color w:val="auto"/>
          <w:kern w:val="2"/>
          <w:sz w:val="32"/>
          <w:szCs w:val="32"/>
          <w:lang w:val="en-US" w:eastAsia="zh-CN" w:bidi="ar-SA"/>
        </w:rPr>
        <w:t>供水能力</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en-US" w:eastAsia="zh-CN" w:bidi="ar-SA"/>
        </w:rPr>
        <w:t>灌溉面积</w:t>
      </w:r>
      <w:r>
        <w:rPr>
          <w:rFonts w:hint="eastAsia" w:ascii="仿宋_GB2312" w:hAnsi="宋体" w:eastAsia="仿宋_GB2312" w:cs="Times New Roman"/>
          <w:color w:val="auto"/>
          <w:kern w:val="2"/>
          <w:sz w:val="32"/>
          <w:szCs w:val="32"/>
          <w:lang w:val="en-US" w:eastAsia="zh-CN" w:bidi="ar-SA"/>
        </w:rPr>
        <w:t>、</w:t>
      </w:r>
      <w:r>
        <w:rPr>
          <w:rFonts w:hint="default" w:ascii="仿宋_GB2312" w:hAnsi="宋体" w:eastAsia="仿宋_GB2312" w:cs="Times New Roman"/>
          <w:color w:val="auto"/>
          <w:kern w:val="2"/>
          <w:sz w:val="32"/>
          <w:szCs w:val="32"/>
          <w:lang w:val="en-US" w:eastAsia="zh-CN" w:bidi="ar-SA"/>
        </w:rPr>
        <w:t>保护耕地面积</w:t>
      </w:r>
      <w:r>
        <w:rPr>
          <w:rFonts w:hint="eastAsia" w:ascii="仿宋_GB2312" w:hAnsi="宋体" w:eastAsia="仿宋_GB2312" w:cs="Times New Roman"/>
          <w:color w:val="auto"/>
          <w:kern w:val="2"/>
          <w:sz w:val="32"/>
          <w:szCs w:val="32"/>
          <w:lang w:val="en-US" w:eastAsia="zh-CN" w:bidi="ar-SA"/>
        </w:rPr>
        <w:t>指标均达到2020年省级水利救灾资金绩效目标情况表的全部指标。</w:t>
      </w:r>
      <w:r>
        <w:rPr>
          <w:rFonts w:hint="default" w:ascii="仿宋_GB2312" w:hAnsi="宋体" w:eastAsia="仿宋_GB2312" w:cs="Times New Roman"/>
          <w:color w:val="auto"/>
          <w:kern w:val="2"/>
          <w:sz w:val="32"/>
          <w:szCs w:val="32"/>
          <w:lang w:val="en-US" w:eastAsia="zh-CN" w:bidi="ar-SA"/>
        </w:rPr>
        <w:t>截至</w:t>
      </w:r>
      <w:r>
        <w:rPr>
          <w:rFonts w:hint="eastAsia" w:ascii="仿宋_GB2312" w:hAnsi="宋体" w:eastAsia="仿宋_GB2312" w:cs="Times New Roman"/>
          <w:color w:val="auto"/>
          <w:kern w:val="2"/>
          <w:sz w:val="32"/>
          <w:szCs w:val="32"/>
          <w:lang w:val="en-US" w:eastAsia="zh-CN" w:bidi="ar-SA"/>
        </w:rPr>
        <w:t>目前</w:t>
      </w:r>
      <w:r>
        <w:rPr>
          <w:rFonts w:hint="default" w:ascii="仿宋_GB2312" w:hAnsi="宋体" w:eastAsia="仿宋_GB2312" w:cs="Times New Roman"/>
          <w:color w:val="auto"/>
          <w:kern w:val="2"/>
          <w:sz w:val="32"/>
          <w:szCs w:val="32"/>
          <w:lang w:val="en-US" w:eastAsia="zh-CN" w:bidi="ar-SA"/>
        </w:rPr>
        <w:t>，</w:t>
      </w:r>
      <w:r>
        <w:rPr>
          <w:rFonts w:hint="eastAsia" w:ascii="仿宋_GB2312" w:hAnsi="宋体" w:eastAsia="仿宋_GB2312" w:cs="Times New Roman"/>
          <w:color w:val="auto"/>
          <w:kern w:val="2"/>
          <w:sz w:val="32"/>
          <w:szCs w:val="32"/>
          <w:lang w:val="en-US" w:eastAsia="zh-CN" w:bidi="ar-SA"/>
        </w:rPr>
        <w:t>发生</w:t>
      </w:r>
      <w:r>
        <w:rPr>
          <w:rFonts w:hint="default" w:ascii="仿宋_GB2312" w:hAnsi="宋体" w:eastAsia="仿宋_GB2312" w:cs="Times New Roman"/>
          <w:color w:val="auto"/>
          <w:kern w:val="2"/>
          <w:sz w:val="32"/>
          <w:szCs w:val="32"/>
          <w:lang w:val="en-US" w:eastAsia="zh-CN" w:bidi="ar-SA"/>
        </w:rPr>
        <w:t>工程设计标准内洪水</w:t>
      </w:r>
      <w:r>
        <w:rPr>
          <w:rFonts w:hint="eastAsia" w:ascii="仿宋_GB2312" w:hAnsi="宋体" w:eastAsia="仿宋_GB2312" w:cs="Times New Roman"/>
          <w:color w:val="auto"/>
          <w:kern w:val="2"/>
          <w:sz w:val="32"/>
          <w:szCs w:val="32"/>
          <w:lang w:val="en-US" w:eastAsia="zh-CN" w:bidi="ar-SA"/>
        </w:rPr>
        <w:t>未</w:t>
      </w:r>
      <w:r>
        <w:rPr>
          <w:rFonts w:hint="default" w:ascii="仿宋_GB2312" w:hAnsi="宋体" w:eastAsia="仿宋_GB2312" w:cs="Times New Roman"/>
          <w:color w:val="auto"/>
          <w:kern w:val="2"/>
          <w:sz w:val="32"/>
          <w:szCs w:val="32"/>
          <w:lang w:val="en-US" w:eastAsia="zh-CN" w:bidi="ar-SA"/>
        </w:rPr>
        <w:t>受严重影</w:t>
      </w:r>
      <w:r>
        <w:rPr>
          <w:rFonts w:hint="eastAsia" w:ascii="仿宋_GB2312" w:hAnsi="宋体" w:eastAsia="仿宋_GB2312" w:cs="Times New Roman"/>
          <w:color w:val="auto"/>
          <w:kern w:val="2"/>
          <w:sz w:val="32"/>
          <w:szCs w:val="32"/>
          <w:lang w:val="en-US" w:eastAsia="zh-CN" w:bidi="ar-SA"/>
        </w:rPr>
        <w:t>响，</w:t>
      </w:r>
      <w:r>
        <w:rPr>
          <w:rFonts w:hint="default" w:ascii="仿宋_GB2312" w:hAnsi="宋体" w:eastAsia="仿宋_GB2312" w:cs="Times New Roman"/>
          <w:color w:val="auto"/>
          <w:kern w:val="2"/>
          <w:sz w:val="32"/>
          <w:szCs w:val="32"/>
          <w:lang w:val="en-US" w:eastAsia="zh-CN" w:bidi="ar-SA"/>
        </w:rPr>
        <w:t>已建工程</w:t>
      </w:r>
      <w:r>
        <w:rPr>
          <w:rFonts w:hint="eastAsia" w:ascii="仿宋_GB2312" w:hAnsi="宋体" w:eastAsia="仿宋_GB2312" w:cs="Times New Roman"/>
          <w:color w:val="auto"/>
          <w:kern w:val="2"/>
          <w:sz w:val="32"/>
          <w:szCs w:val="32"/>
          <w:lang w:val="en-US" w:eastAsia="zh-CN" w:bidi="ar-SA"/>
        </w:rPr>
        <w:t>目前</w:t>
      </w:r>
      <w:r>
        <w:rPr>
          <w:rFonts w:hint="default" w:ascii="仿宋_GB2312" w:hAnsi="宋体" w:eastAsia="仿宋_GB2312" w:cs="Times New Roman"/>
          <w:color w:val="auto"/>
          <w:kern w:val="2"/>
          <w:sz w:val="32"/>
          <w:szCs w:val="32"/>
          <w:lang w:val="en-US" w:eastAsia="zh-CN" w:bidi="ar-SA"/>
        </w:rPr>
        <w:t>良性运行。该项目的实施，充分体现了党和国家对农民群众生产生活的关怀，受到了广大群众的欢迎和支持。随机对部分县区的受益群众进行了走访和满意度调查，群众满意度达9</w:t>
      </w:r>
      <w:r>
        <w:rPr>
          <w:rFonts w:hint="eastAsia" w:ascii="仿宋_GB2312" w:hAnsi="宋体" w:eastAsia="仿宋_GB2312" w:cs="Times New Roman"/>
          <w:color w:val="auto"/>
          <w:kern w:val="2"/>
          <w:sz w:val="32"/>
          <w:szCs w:val="32"/>
          <w:lang w:val="en-US" w:eastAsia="zh-CN" w:bidi="ar-SA"/>
        </w:rPr>
        <w:t>0</w:t>
      </w:r>
      <w:r>
        <w:rPr>
          <w:rFonts w:hint="default" w:ascii="仿宋_GB2312" w:hAnsi="宋体" w:eastAsia="仿宋_GB2312" w:cs="Times New Roman"/>
          <w:color w:val="auto"/>
          <w:kern w:val="2"/>
          <w:sz w:val="32"/>
          <w:szCs w:val="32"/>
          <w:lang w:val="en-US" w:eastAsia="zh-CN" w:bidi="ar-SA"/>
        </w:rPr>
        <w:t>%及以上。</w:t>
      </w:r>
    </w:p>
    <w:p>
      <w:pPr>
        <w:keepNext w:val="0"/>
        <w:keepLines w:val="0"/>
        <w:pageBreakBefore w:val="0"/>
        <w:widowControl w:val="0"/>
        <w:kinsoku/>
        <w:wordWrap/>
        <w:overflowPunct/>
        <w:topLinePunct w:val="0"/>
        <w:autoSpaceDE/>
        <w:autoSpaceDN/>
        <w:bidi w:val="0"/>
        <w:adjustRightInd/>
        <w:spacing w:line="558" w:lineRule="exact"/>
        <w:ind w:left="0" w:firstLine="640" w:firstLineChars="200"/>
        <w:textAlignment w:val="auto"/>
        <w:rPr>
          <w:rFonts w:hint="default" w:ascii="Times New Roman" w:hAnsi="Times New Roman" w:eastAsia="黑体" w:cs="Times New Roman"/>
          <w:b w:val="0"/>
          <w:bCs w:val="0"/>
          <w:color w:val="auto"/>
          <w:sz w:val="32"/>
          <w:szCs w:val="32"/>
          <w:highlight w:val="none"/>
        </w:rPr>
      </w:pPr>
      <w:r>
        <w:rPr>
          <w:rFonts w:hint="eastAsia" w:eastAsia="黑体" w:cs="Times New Roman"/>
          <w:b w:val="0"/>
          <w:bCs w:val="0"/>
          <w:color w:val="auto"/>
          <w:sz w:val="32"/>
          <w:szCs w:val="32"/>
          <w:highlight w:val="none"/>
          <w:lang w:val="en-US" w:eastAsia="zh-CN"/>
        </w:rPr>
        <w:t>六、</w:t>
      </w:r>
      <w:r>
        <w:rPr>
          <w:rFonts w:hint="default" w:ascii="Times New Roman" w:hAnsi="Times New Roman" w:eastAsia="黑体" w:cs="Times New Roman"/>
          <w:b w:val="0"/>
          <w:bCs w:val="0"/>
          <w:color w:val="auto"/>
          <w:sz w:val="32"/>
          <w:szCs w:val="32"/>
          <w:highlight w:val="none"/>
        </w:rPr>
        <w:t>存在主要问题</w:t>
      </w:r>
    </w:p>
    <w:p>
      <w:pPr>
        <w:keepNext w:val="0"/>
        <w:keepLines w:val="0"/>
        <w:pageBreakBefore w:val="0"/>
        <w:widowControl w:val="0"/>
        <w:kinsoku/>
        <w:wordWrap/>
        <w:overflowPunct/>
        <w:topLinePunct w:val="0"/>
        <w:autoSpaceDE/>
        <w:autoSpaceDN/>
        <w:bidi w:val="0"/>
        <w:adjustRightInd/>
        <w:spacing w:line="558" w:lineRule="exact"/>
        <w:ind w:left="0"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pacing w:line="558" w:lineRule="exact"/>
        <w:ind w:leftChars="200" w:firstLine="320" w:firstLineChars="100"/>
        <w:textAlignment w:val="auto"/>
        <w:rPr>
          <w:rFonts w:hint="eastAsia" w:eastAsia="黑体" w:cs="Times New Roman"/>
          <w:b w:val="0"/>
          <w:bCs w:val="0"/>
          <w:color w:val="auto"/>
          <w:sz w:val="32"/>
          <w:szCs w:val="32"/>
          <w:highlight w:val="none"/>
          <w:lang w:val="en-US" w:eastAsia="zh-CN"/>
        </w:rPr>
      </w:pPr>
      <w:r>
        <w:rPr>
          <w:rFonts w:hint="eastAsia" w:eastAsia="黑体" w:cs="Times New Roman"/>
          <w:b w:val="0"/>
          <w:bCs w:val="0"/>
          <w:color w:val="auto"/>
          <w:sz w:val="32"/>
          <w:szCs w:val="32"/>
          <w:highlight w:val="none"/>
          <w:lang w:val="en-US" w:eastAsia="zh-CN"/>
        </w:rPr>
        <w:t>七、</w:t>
      </w:r>
      <w:r>
        <w:rPr>
          <w:rFonts w:hint="default" w:ascii="Times New Roman" w:hAnsi="Times New Roman" w:eastAsia="黑体" w:cs="Times New Roman"/>
          <w:b w:val="0"/>
          <w:bCs w:val="0"/>
          <w:color w:val="auto"/>
          <w:sz w:val="32"/>
          <w:szCs w:val="32"/>
          <w:highlight w:val="none"/>
        </w:rPr>
        <w:t>相关措施建议</w:t>
      </w:r>
      <w:r>
        <w:rPr>
          <w:rFonts w:hint="eastAsia" w:eastAsia="黑体" w:cs="Times New Roman"/>
          <w:b w:val="0"/>
          <w:bCs w:val="0"/>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pacing w:line="558" w:lineRule="exact"/>
        <w:ind w:left="0"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 xml:space="preserve">无 </w:t>
      </w:r>
    </w:p>
    <w:p>
      <w:pPr>
        <w:spacing w:line="600" w:lineRule="exact"/>
        <w:jc w:val="center"/>
        <w:outlineLvl w:val="0"/>
        <w:rPr>
          <w:rFonts w:hint="eastAsia" w:ascii="仿宋" w:hAnsi="仿宋" w:eastAsia="仿宋"/>
          <w:b w:val="0"/>
          <w:color w:val="auto"/>
        </w:rPr>
      </w:pPr>
      <w:bookmarkStart w:id="53" w:name="_Toc15396618"/>
      <w:r>
        <w:rPr>
          <w:rFonts w:hint="eastAsia" w:ascii="黑体" w:hAnsi="黑体" w:eastAsia="黑体"/>
          <w:color w:val="auto"/>
          <w:sz w:val="44"/>
          <w:szCs w:val="44"/>
        </w:rPr>
        <w:t>第</w:t>
      </w:r>
      <w:r>
        <w:rPr>
          <w:rStyle w:val="26"/>
          <w:rFonts w:hint="eastAsia" w:ascii="黑体" w:hAnsi="黑体" w:eastAsia="黑体"/>
          <w:b w:val="0"/>
          <w:color w:val="auto"/>
        </w:rPr>
        <w:t>五部分 附表</w:t>
      </w:r>
      <w:bookmarkEnd w:id="51"/>
      <w:bookmarkEnd w:id="53"/>
      <w:bookmarkStart w:id="54" w:name="_Toc15396619"/>
    </w:p>
    <w:p>
      <w:pPr>
        <w:pStyle w:val="4"/>
        <w:rPr>
          <w:rFonts w:ascii="仿宋" w:hAnsi="仿宋" w:eastAsia="仿宋"/>
          <w:color w:val="auto"/>
        </w:rPr>
      </w:pPr>
      <w:r>
        <w:rPr>
          <w:rFonts w:hint="eastAsia" w:ascii="仿宋" w:hAnsi="仿宋" w:eastAsia="仿宋"/>
          <w:b w:val="0"/>
          <w:color w:val="auto"/>
        </w:rPr>
        <w:t>一、收</w:t>
      </w:r>
      <w:r>
        <w:rPr>
          <w:rStyle w:val="27"/>
          <w:rFonts w:hint="eastAsia" w:ascii="仿宋" w:hAnsi="仿宋" w:eastAsia="仿宋"/>
          <w:b w:val="0"/>
          <w:bCs w:val="0"/>
          <w:color w:val="auto"/>
        </w:rPr>
        <w:t>入支出决算总表</w:t>
      </w:r>
      <w:bookmarkEnd w:id="54"/>
    </w:p>
    <w:p>
      <w:pPr>
        <w:pStyle w:val="4"/>
        <w:rPr>
          <w:rFonts w:ascii="仿宋" w:hAnsi="仿宋" w:eastAsia="仿宋"/>
          <w:color w:val="auto"/>
        </w:rPr>
      </w:pPr>
      <w:bookmarkStart w:id="55" w:name="_Toc15396620"/>
      <w:r>
        <w:rPr>
          <w:rFonts w:hint="eastAsia" w:ascii="仿宋" w:hAnsi="仿宋" w:eastAsia="仿宋"/>
          <w:b w:val="0"/>
          <w:color w:val="auto"/>
        </w:rPr>
        <w:t>二、收</w:t>
      </w:r>
      <w:r>
        <w:rPr>
          <w:rStyle w:val="27"/>
          <w:rFonts w:hint="eastAsia" w:ascii="仿宋" w:hAnsi="仿宋" w:eastAsia="仿宋"/>
          <w:b w:val="0"/>
          <w:bCs w:val="0"/>
          <w:color w:val="auto"/>
        </w:rPr>
        <w:t>入决算表</w:t>
      </w:r>
      <w:bookmarkEnd w:id="55"/>
    </w:p>
    <w:p>
      <w:pPr>
        <w:pStyle w:val="4"/>
        <w:rPr>
          <w:rFonts w:ascii="仿宋" w:hAnsi="仿宋" w:eastAsia="仿宋"/>
          <w:color w:val="auto"/>
        </w:rPr>
      </w:pPr>
      <w:bookmarkStart w:id="56" w:name="_Toc15396621"/>
      <w:r>
        <w:rPr>
          <w:rStyle w:val="27"/>
          <w:rFonts w:hint="eastAsia" w:ascii="仿宋" w:hAnsi="仿宋" w:eastAsia="仿宋"/>
          <w:b w:val="0"/>
          <w:bCs w:val="0"/>
          <w:color w:val="auto"/>
        </w:rPr>
        <w:t>三、</w:t>
      </w:r>
      <w:r>
        <w:rPr>
          <w:rFonts w:hint="eastAsia" w:ascii="仿宋" w:hAnsi="仿宋" w:eastAsia="仿宋"/>
          <w:b w:val="0"/>
          <w:color w:val="auto"/>
        </w:rPr>
        <w:t>支</w:t>
      </w:r>
      <w:r>
        <w:rPr>
          <w:rStyle w:val="27"/>
          <w:rFonts w:hint="eastAsia" w:ascii="仿宋" w:hAnsi="仿宋" w:eastAsia="仿宋"/>
          <w:b w:val="0"/>
          <w:bCs w:val="0"/>
          <w:color w:val="auto"/>
        </w:rPr>
        <w:t>出决算表</w:t>
      </w:r>
      <w:bookmarkEnd w:id="56"/>
    </w:p>
    <w:p>
      <w:pPr>
        <w:pStyle w:val="4"/>
        <w:rPr>
          <w:rFonts w:ascii="仿宋" w:hAnsi="仿宋" w:eastAsia="仿宋"/>
          <w:b w:val="0"/>
          <w:color w:val="auto"/>
        </w:rPr>
      </w:pPr>
      <w:bookmarkStart w:id="57" w:name="_Toc15396622"/>
      <w:r>
        <w:rPr>
          <w:rStyle w:val="27"/>
          <w:rFonts w:hint="eastAsia" w:ascii="仿宋" w:hAnsi="仿宋" w:eastAsia="仿宋"/>
          <w:b w:val="0"/>
          <w:bCs w:val="0"/>
          <w:color w:val="auto"/>
        </w:rPr>
        <w:t>四、</w:t>
      </w:r>
      <w:r>
        <w:rPr>
          <w:rFonts w:hint="eastAsia" w:ascii="仿宋" w:hAnsi="仿宋" w:eastAsia="仿宋"/>
          <w:b w:val="0"/>
          <w:color w:val="auto"/>
        </w:rPr>
        <w:t>财</w:t>
      </w:r>
      <w:r>
        <w:rPr>
          <w:rStyle w:val="27"/>
          <w:rFonts w:hint="eastAsia" w:ascii="仿宋" w:hAnsi="仿宋" w:eastAsia="仿宋"/>
          <w:b w:val="0"/>
          <w:bCs w:val="0"/>
          <w:color w:val="auto"/>
        </w:rPr>
        <w:t>政拨款收入支出决算总表</w:t>
      </w:r>
      <w:bookmarkEnd w:id="57"/>
    </w:p>
    <w:p>
      <w:pPr>
        <w:pStyle w:val="4"/>
        <w:rPr>
          <w:rStyle w:val="27"/>
          <w:rFonts w:ascii="仿宋" w:hAnsi="仿宋" w:eastAsia="仿宋"/>
          <w:b w:val="0"/>
          <w:bCs w:val="0"/>
          <w:color w:val="auto"/>
        </w:rPr>
      </w:pPr>
      <w:bookmarkStart w:id="58" w:name="_Toc15396623"/>
      <w:r>
        <w:rPr>
          <w:rStyle w:val="27"/>
          <w:rFonts w:hint="eastAsia" w:ascii="仿宋" w:hAnsi="仿宋" w:eastAsia="仿宋"/>
          <w:b w:val="0"/>
          <w:bCs w:val="0"/>
          <w:color w:val="auto"/>
        </w:rPr>
        <w:t>五、</w:t>
      </w:r>
      <w:r>
        <w:rPr>
          <w:rFonts w:hint="eastAsia" w:ascii="仿宋" w:hAnsi="仿宋" w:eastAsia="仿宋"/>
          <w:b w:val="0"/>
          <w:color w:val="auto"/>
        </w:rPr>
        <w:t>财</w:t>
      </w:r>
      <w:r>
        <w:rPr>
          <w:rStyle w:val="27"/>
          <w:rFonts w:hint="eastAsia" w:ascii="仿宋" w:hAnsi="仿宋" w:eastAsia="仿宋"/>
          <w:b w:val="0"/>
          <w:bCs w:val="0"/>
          <w:color w:val="auto"/>
        </w:rPr>
        <w:t>政拨款支出决算明细表</w:t>
      </w:r>
      <w:bookmarkEnd w:id="58"/>
      <w:bookmarkStart w:id="59" w:name="_Toc15396624"/>
    </w:p>
    <w:p>
      <w:pPr>
        <w:pStyle w:val="4"/>
        <w:rPr>
          <w:rFonts w:ascii="仿宋" w:hAnsi="仿宋" w:eastAsia="仿宋"/>
          <w:color w:val="auto"/>
        </w:rPr>
      </w:pPr>
      <w:r>
        <w:rPr>
          <w:rStyle w:val="27"/>
          <w:rFonts w:hint="eastAsia" w:ascii="仿宋" w:hAnsi="仿宋" w:eastAsia="仿宋"/>
          <w:b w:val="0"/>
          <w:bCs w:val="0"/>
          <w:color w:val="auto"/>
        </w:rPr>
        <w:t>六、</w:t>
      </w:r>
      <w:r>
        <w:rPr>
          <w:rFonts w:hint="eastAsia" w:ascii="仿宋" w:hAnsi="仿宋" w:eastAsia="仿宋"/>
          <w:b w:val="0"/>
          <w:color w:val="auto"/>
        </w:rPr>
        <w:t>一</w:t>
      </w:r>
      <w:r>
        <w:rPr>
          <w:rStyle w:val="27"/>
          <w:rFonts w:hint="eastAsia" w:ascii="仿宋" w:hAnsi="仿宋" w:eastAsia="仿宋"/>
          <w:b w:val="0"/>
          <w:bCs w:val="0"/>
          <w:color w:val="auto"/>
        </w:rPr>
        <w:t>般公共预算财政拨款支出决算表</w:t>
      </w:r>
      <w:bookmarkEnd w:id="59"/>
    </w:p>
    <w:p>
      <w:pPr>
        <w:pStyle w:val="4"/>
        <w:rPr>
          <w:rFonts w:ascii="仿宋" w:hAnsi="仿宋" w:eastAsia="仿宋"/>
          <w:color w:val="auto"/>
        </w:rPr>
      </w:pPr>
      <w:bookmarkStart w:id="60" w:name="_Toc15396625"/>
      <w:r>
        <w:rPr>
          <w:rStyle w:val="27"/>
          <w:rFonts w:hint="eastAsia" w:ascii="仿宋" w:hAnsi="仿宋" w:eastAsia="仿宋"/>
          <w:b w:val="0"/>
          <w:bCs w:val="0"/>
          <w:color w:val="auto"/>
        </w:rPr>
        <w:t>七、</w:t>
      </w:r>
      <w:r>
        <w:rPr>
          <w:rFonts w:hint="eastAsia" w:ascii="仿宋" w:hAnsi="仿宋" w:eastAsia="仿宋"/>
          <w:b w:val="0"/>
          <w:color w:val="auto"/>
        </w:rPr>
        <w:t>一</w:t>
      </w:r>
      <w:r>
        <w:rPr>
          <w:rStyle w:val="27"/>
          <w:rFonts w:hint="eastAsia" w:ascii="仿宋" w:hAnsi="仿宋" w:eastAsia="仿宋"/>
          <w:b w:val="0"/>
          <w:bCs w:val="0"/>
          <w:color w:val="auto"/>
        </w:rPr>
        <w:t>般公共预算财政拨款支出决算明细表</w:t>
      </w:r>
      <w:bookmarkEnd w:id="60"/>
    </w:p>
    <w:p>
      <w:pPr>
        <w:pStyle w:val="4"/>
        <w:rPr>
          <w:rFonts w:ascii="仿宋" w:hAnsi="仿宋" w:eastAsia="仿宋"/>
          <w:color w:val="auto"/>
        </w:rPr>
      </w:pPr>
      <w:bookmarkStart w:id="61" w:name="_Toc15396626"/>
      <w:r>
        <w:rPr>
          <w:rStyle w:val="27"/>
          <w:rFonts w:hint="eastAsia" w:ascii="仿宋" w:hAnsi="仿宋" w:eastAsia="仿宋"/>
          <w:b w:val="0"/>
          <w:bCs w:val="0"/>
          <w:color w:val="auto"/>
        </w:rPr>
        <w:t>八、</w:t>
      </w:r>
      <w:r>
        <w:rPr>
          <w:rFonts w:hint="eastAsia" w:ascii="仿宋" w:hAnsi="仿宋" w:eastAsia="仿宋"/>
          <w:b w:val="0"/>
          <w:color w:val="auto"/>
        </w:rPr>
        <w:t>一</w:t>
      </w:r>
      <w:r>
        <w:rPr>
          <w:rStyle w:val="27"/>
          <w:rFonts w:hint="eastAsia" w:ascii="仿宋" w:hAnsi="仿宋" w:eastAsia="仿宋"/>
          <w:b w:val="0"/>
          <w:bCs w:val="0"/>
          <w:color w:val="auto"/>
        </w:rPr>
        <w:t>般公共预算财政拨款基本支出决算表</w:t>
      </w:r>
      <w:bookmarkEnd w:id="61"/>
    </w:p>
    <w:p>
      <w:pPr>
        <w:pStyle w:val="4"/>
        <w:rPr>
          <w:rFonts w:ascii="仿宋" w:hAnsi="仿宋" w:eastAsia="仿宋"/>
          <w:color w:val="auto"/>
        </w:rPr>
      </w:pPr>
      <w:bookmarkStart w:id="62" w:name="_Toc15396627"/>
      <w:r>
        <w:rPr>
          <w:rStyle w:val="27"/>
          <w:rFonts w:hint="eastAsia" w:ascii="仿宋" w:hAnsi="仿宋" w:eastAsia="仿宋"/>
          <w:b w:val="0"/>
          <w:bCs w:val="0"/>
          <w:color w:val="auto"/>
        </w:rPr>
        <w:t>九、</w:t>
      </w:r>
      <w:r>
        <w:rPr>
          <w:rFonts w:hint="eastAsia" w:ascii="仿宋" w:hAnsi="仿宋" w:eastAsia="仿宋"/>
          <w:b w:val="0"/>
          <w:color w:val="auto"/>
        </w:rPr>
        <w:t>一</w:t>
      </w:r>
      <w:r>
        <w:rPr>
          <w:rStyle w:val="27"/>
          <w:rFonts w:hint="eastAsia" w:ascii="仿宋" w:hAnsi="仿宋" w:eastAsia="仿宋"/>
          <w:b w:val="0"/>
          <w:bCs w:val="0"/>
          <w:color w:val="auto"/>
        </w:rPr>
        <w:t>般公共预算财政拨款项目支出决算表</w:t>
      </w:r>
      <w:bookmarkEnd w:id="62"/>
    </w:p>
    <w:p>
      <w:pPr>
        <w:pStyle w:val="4"/>
        <w:rPr>
          <w:rFonts w:ascii="仿宋" w:hAnsi="仿宋" w:eastAsia="仿宋"/>
          <w:color w:val="auto"/>
        </w:rPr>
      </w:pPr>
      <w:bookmarkStart w:id="63" w:name="_Toc15396628"/>
      <w:r>
        <w:rPr>
          <w:rStyle w:val="27"/>
          <w:rFonts w:hint="eastAsia" w:ascii="仿宋" w:hAnsi="仿宋" w:eastAsia="仿宋"/>
          <w:b w:val="0"/>
          <w:bCs w:val="0"/>
          <w:color w:val="auto"/>
        </w:rPr>
        <w:t>十、</w:t>
      </w:r>
      <w:r>
        <w:rPr>
          <w:rFonts w:hint="eastAsia" w:ascii="仿宋" w:hAnsi="仿宋" w:eastAsia="仿宋"/>
          <w:b w:val="0"/>
          <w:color w:val="auto"/>
        </w:rPr>
        <w:t>一</w:t>
      </w:r>
      <w:r>
        <w:rPr>
          <w:rStyle w:val="27"/>
          <w:rFonts w:hint="eastAsia" w:ascii="仿宋" w:hAnsi="仿宋" w:eastAsia="仿宋"/>
          <w:b w:val="0"/>
          <w:bCs w:val="0"/>
          <w:color w:val="auto"/>
        </w:rPr>
        <w:t>般公共预算财政拨款“三公”经费支出决算表</w:t>
      </w:r>
      <w:bookmarkEnd w:id="63"/>
    </w:p>
    <w:p>
      <w:pPr>
        <w:pStyle w:val="4"/>
        <w:rPr>
          <w:rFonts w:ascii="仿宋" w:hAnsi="仿宋" w:eastAsia="仿宋"/>
          <w:color w:val="auto"/>
        </w:rPr>
      </w:pPr>
      <w:bookmarkStart w:id="64" w:name="_Toc15396629"/>
      <w:r>
        <w:rPr>
          <w:rStyle w:val="27"/>
          <w:rFonts w:hint="eastAsia" w:ascii="仿宋" w:hAnsi="仿宋" w:eastAsia="仿宋"/>
          <w:b w:val="0"/>
          <w:bCs w:val="0"/>
          <w:color w:val="auto"/>
        </w:rPr>
        <w:t>十一、</w:t>
      </w:r>
      <w:r>
        <w:rPr>
          <w:rFonts w:hint="eastAsia" w:ascii="仿宋" w:hAnsi="仿宋" w:eastAsia="仿宋"/>
          <w:b w:val="0"/>
          <w:color w:val="auto"/>
        </w:rPr>
        <w:t>政</w:t>
      </w:r>
      <w:r>
        <w:rPr>
          <w:rStyle w:val="27"/>
          <w:rFonts w:hint="eastAsia" w:ascii="仿宋" w:hAnsi="仿宋" w:eastAsia="仿宋"/>
          <w:b w:val="0"/>
          <w:bCs w:val="0"/>
          <w:color w:val="auto"/>
        </w:rPr>
        <w:t>府性基金预算财政拨款收入支出决算表</w:t>
      </w:r>
      <w:bookmarkEnd w:id="64"/>
    </w:p>
    <w:p>
      <w:pPr>
        <w:pStyle w:val="4"/>
        <w:rPr>
          <w:rFonts w:ascii="仿宋" w:hAnsi="仿宋" w:eastAsia="仿宋"/>
          <w:color w:val="auto"/>
        </w:rPr>
      </w:pPr>
      <w:bookmarkStart w:id="65" w:name="_Toc15396630"/>
      <w:r>
        <w:rPr>
          <w:rStyle w:val="27"/>
          <w:rFonts w:hint="eastAsia" w:ascii="仿宋" w:hAnsi="仿宋" w:eastAsia="仿宋"/>
          <w:b w:val="0"/>
          <w:bCs w:val="0"/>
          <w:color w:val="auto"/>
        </w:rPr>
        <w:t>十二、</w:t>
      </w:r>
      <w:r>
        <w:rPr>
          <w:rFonts w:hint="eastAsia" w:ascii="仿宋" w:hAnsi="仿宋" w:eastAsia="仿宋"/>
          <w:b w:val="0"/>
          <w:color w:val="auto"/>
        </w:rPr>
        <w:t>政</w:t>
      </w:r>
      <w:r>
        <w:rPr>
          <w:rStyle w:val="27"/>
          <w:rFonts w:hint="eastAsia" w:ascii="仿宋" w:hAnsi="仿宋" w:eastAsia="仿宋"/>
          <w:b w:val="0"/>
          <w:bCs w:val="0"/>
          <w:color w:val="auto"/>
        </w:rPr>
        <w:t>府性基金预算财政拨款“三公”经费支出决算表</w:t>
      </w:r>
      <w:bookmarkEnd w:id="65"/>
    </w:p>
    <w:p>
      <w:pPr>
        <w:pStyle w:val="4"/>
        <w:rPr>
          <w:rStyle w:val="27"/>
          <w:rFonts w:hint="eastAsia" w:ascii="仿宋" w:hAnsi="仿宋" w:eastAsia="仿宋"/>
          <w:b w:val="0"/>
          <w:bCs w:val="0"/>
          <w:color w:val="auto"/>
        </w:rPr>
      </w:pPr>
      <w:bookmarkStart w:id="66" w:name="_Toc15396631"/>
      <w:r>
        <w:rPr>
          <w:rStyle w:val="27"/>
          <w:rFonts w:hint="eastAsia" w:ascii="仿宋" w:hAnsi="仿宋" w:eastAsia="仿宋"/>
          <w:b w:val="0"/>
          <w:bCs w:val="0"/>
          <w:color w:val="auto"/>
        </w:rPr>
        <w:t>十三、</w:t>
      </w:r>
      <w:r>
        <w:rPr>
          <w:rFonts w:hint="eastAsia" w:ascii="仿宋" w:hAnsi="仿宋" w:eastAsia="仿宋"/>
          <w:b w:val="0"/>
          <w:color w:val="auto"/>
        </w:rPr>
        <w:t>国</w:t>
      </w:r>
      <w:r>
        <w:rPr>
          <w:rStyle w:val="27"/>
          <w:rFonts w:hint="eastAsia" w:ascii="仿宋" w:hAnsi="仿宋" w:eastAsia="仿宋"/>
          <w:b w:val="0"/>
          <w:bCs w:val="0"/>
          <w:color w:val="auto"/>
        </w:rPr>
        <w:t>有资本经营预算</w:t>
      </w:r>
      <w:r>
        <w:rPr>
          <w:rStyle w:val="27"/>
          <w:rFonts w:hint="eastAsia" w:ascii="仿宋" w:hAnsi="仿宋" w:eastAsia="仿宋"/>
          <w:b w:val="0"/>
          <w:bCs w:val="0"/>
          <w:color w:val="auto"/>
          <w:lang w:eastAsia="zh-CN"/>
        </w:rPr>
        <w:t>财政拨款收入</w:t>
      </w:r>
      <w:r>
        <w:rPr>
          <w:rStyle w:val="27"/>
          <w:rFonts w:hint="eastAsia" w:ascii="仿宋" w:hAnsi="仿宋" w:eastAsia="仿宋"/>
          <w:b w:val="0"/>
          <w:bCs w:val="0"/>
          <w:color w:val="auto"/>
        </w:rPr>
        <w:t>支出决算表</w:t>
      </w:r>
      <w:bookmarkEnd w:id="66"/>
    </w:p>
    <w:p>
      <w:pPr>
        <w:rPr>
          <w:rFonts w:hint="eastAsia" w:eastAsia="仿宋"/>
          <w:color w:val="auto"/>
          <w:lang w:eastAsia="zh-CN"/>
        </w:rPr>
      </w:pPr>
      <w:r>
        <w:rPr>
          <w:rStyle w:val="27"/>
          <w:rFonts w:hint="eastAsia" w:ascii="仿宋" w:hAnsi="仿宋" w:eastAsia="仿宋"/>
          <w:b w:val="0"/>
          <w:bCs w:val="0"/>
          <w:color w:val="auto"/>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E936EB99"/>
    <w:multiLevelType w:val="singleLevel"/>
    <w:tmpl w:val="E936EB99"/>
    <w:lvl w:ilvl="0" w:tentative="0">
      <w:start w:val="4"/>
      <w:numFmt w:val="decimal"/>
      <w:lvlText w:val="%1."/>
      <w:lvlJc w:val="left"/>
      <w:pPr>
        <w:tabs>
          <w:tab w:val="left" w:pos="312"/>
        </w:tabs>
      </w:pPr>
    </w:lvl>
  </w:abstractNum>
  <w:abstractNum w:abstractNumId="3">
    <w:nsid w:val="F9ECA4C0"/>
    <w:multiLevelType w:val="singleLevel"/>
    <w:tmpl w:val="F9ECA4C0"/>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24F78FC"/>
    <w:multiLevelType w:val="singleLevel"/>
    <w:tmpl w:val="624F78FC"/>
    <w:lvl w:ilvl="0" w:tentative="0">
      <w:start w:val="1"/>
      <w:numFmt w:val="chineseCounting"/>
      <w:suff w:val="nothing"/>
      <w:lvlText w:val="（%1）"/>
      <w:lvlJc w:val="left"/>
      <w:rPr>
        <w:rFonts w:hint="eastAsia"/>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BC44E3"/>
    <w:rsid w:val="01D02A76"/>
    <w:rsid w:val="025A6C52"/>
    <w:rsid w:val="026B31B0"/>
    <w:rsid w:val="02D4719F"/>
    <w:rsid w:val="04E9344E"/>
    <w:rsid w:val="05BA5B49"/>
    <w:rsid w:val="060D7578"/>
    <w:rsid w:val="06B62EB3"/>
    <w:rsid w:val="084743F9"/>
    <w:rsid w:val="08D41657"/>
    <w:rsid w:val="0A2032A3"/>
    <w:rsid w:val="0AFF3CF5"/>
    <w:rsid w:val="0C2B7F1D"/>
    <w:rsid w:val="0CF170CE"/>
    <w:rsid w:val="0D4F7C9D"/>
    <w:rsid w:val="0D74485B"/>
    <w:rsid w:val="0D955127"/>
    <w:rsid w:val="0F1F7129"/>
    <w:rsid w:val="10C055FF"/>
    <w:rsid w:val="118107EC"/>
    <w:rsid w:val="12E97F37"/>
    <w:rsid w:val="152F6E92"/>
    <w:rsid w:val="16BB723D"/>
    <w:rsid w:val="16F41093"/>
    <w:rsid w:val="18015F3F"/>
    <w:rsid w:val="18F96955"/>
    <w:rsid w:val="19F1707D"/>
    <w:rsid w:val="1A473651"/>
    <w:rsid w:val="1BB7276F"/>
    <w:rsid w:val="1BE8440E"/>
    <w:rsid w:val="1C135AB2"/>
    <w:rsid w:val="1C4B3F08"/>
    <w:rsid w:val="1CA53B60"/>
    <w:rsid w:val="1D155CEE"/>
    <w:rsid w:val="1D710923"/>
    <w:rsid w:val="1E4409D1"/>
    <w:rsid w:val="1E521343"/>
    <w:rsid w:val="1E8862B5"/>
    <w:rsid w:val="1EA23251"/>
    <w:rsid w:val="1F395E1E"/>
    <w:rsid w:val="2062639E"/>
    <w:rsid w:val="20F57F95"/>
    <w:rsid w:val="21341C74"/>
    <w:rsid w:val="219745E0"/>
    <w:rsid w:val="230D4FDE"/>
    <w:rsid w:val="240371BF"/>
    <w:rsid w:val="254F260E"/>
    <w:rsid w:val="257C661A"/>
    <w:rsid w:val="26254AED"/>
    <w:rsid w:val="269C7D3C"/>
    <w:rsid w:val="26AD30DD"/>
    <w:rsid w:val="27842671"/>
    <w:rsid w:val="27A35E81"/>
    <w:rsid w:val="28981606"/>
    <w:rsid w:val="29FD04D3"/>
    <w:rsid w:val="2ABE7A3E"/>
    <w:rsid w:val="2D332990"/>
    <w:rsid w:val="2D8A1908"/>
    <w:rsid w:val="2E5B5EA3"/>
    <w:rsid w:val="2E672814"/>
    <w:rsid w:val="2FF21807"/>
    <w:rsid w:val="30FA294D"/>
    <w:rsid w:val="316915D1"/>
    <w:rsid w:val="319F7F4E"/>
    <w:rsid w:val="34FF2523"/>
    <w:rsid w:val="35F876F1"/>
    <w:rsid w:val="3700260E"/>
    <w:rsid w:val="38953DA6"/>
    <w:rsid w:val="390075EB"/>
    <w:rsid w:val="391E1BCC"/>
    <w:rsid w:val="39A843F6"/>
    <w:rsid w:val="3AA378AA"/>
    <w:rsid w:val="3AA4640A"/>
    <w:rsid w:val="3B20696A"/>
    <w:rsid w:val="3B2A628D"/>
    <w:rsid w:val="3C002342"/>
    <w:rsid w:val="3C0C0783"/>
    <w:rsid w:val="3C5E4689"/>
    <w:rsid w:val="3C7730FE"/>
    <w:rsid w:val="3C833C9D"/>
    <w:rsid w:val="3CC45208"/>
    <w:rsid w:val="3CD825CD"/>
    <w:rsid w:val="3ECA2EB4"/>
    <w:rsid w:val="3F0C7E17"/>
    <w:rsid w:val="41C91432"/>
    <w:rsid w:val="43091CD2"/>
    <w:rsid w:val="431839AF"/>
    <w:rsid w:val="436C169D"/>
    <w:rsid w:val="439721AB"/>
    <w:rsid w:val="44AD788D"/>
    <w:rsid w:val="45245857"/>
    <w:rsid w:val="46D830CF"/>
    <w:rsid w:val="4838096F"/>
    <w:rsid w:val="486E1660"/>
    <w:rsid w:val="493C27E9"/>
    <w:rsid w:val="496F39ED"/>
    <w:rsid w:val="498E1EE2"/>
    <w:rsid w:val="49B954DC"/>
    <w:rsid w:val="49FF41D3"/>
    <w:rsid w:val="4B793953"/>
    <w:rsid w:val="4BCD485E"/>
    <w:rsid w:val="4BE068DB"/>
    <w:rsid w:val="4BF6002B"/>
    <w:rsid w:val="4ECE2238"/>
    <w:rsid w:val="4EF15C9A"/>
    <w:rsid w:val="4FCE3F73"/>
    <w:rsid w:val="50560832"/>
    <w:rsid w:val="51AB2BF4"/>
    <w:rsid w:val="53B65C56"/>
    <w:rsid w:val="53D958C7"/>
    <w:rsid w:val="54C62F8C"/>
    <w:rsid w:val="55902A0B"/>
    <w:rsid w:val="56754B37"/>
    <w:rsid w:val="56877937"/>
    <w:rsid w:val="56A23A28"/>
    <w:rsid w:val="583357E8"/>
    <w:rsid w:val="593C4138"/>
    <w:rsid w:val="59715C22"/>
    <w:rsid w:val="5BF6250B"/>
    <w:rsid w:val="5CE54372"/>
    <w:rsid w:val="5E795B4E"/>
    <w:rsid w:val="5EA971A2"/>
    <w:rsid w:val="5F7D5286"/>
    <w:rsid w:val="60871CDC"/>
    <w:rsid w:val="61881CF1"/>
    <w:rsid w:val="62DE4FFC"/>
    <w:rsid w:val="6338264C"/>
    <w:rsid w:val="63BA1A31"/>
    <w:rsid w:val="64CA39A1"/>
    <w:rsid w:val="66196AF1"/>
    <w:rsid w:val="663B2F9B"/>
    <w:rsid w:val="66677662"/>
    <w:rsid w:val="66A5397A"/>
    <w:rsid w:val="681C4ABC"/>
    <w:rsid w:val="685F1410"/>
    <w:rsid w:val="68E716B3"/>
    <w:rsid w:val="69250302"/>
    <w:rsid w:val="6BF06CF6"/>
    <w:rsid w:val="6C4A05C8"/>
    <w:rsid w:val="6CD4364B"/>
    <w:rsid w:val="6D066FB3"/>
    <w:rsid w:val="6DB777C2"/>
    <w:rsid w:val="6ECE4E2F"/>
    <w:rsid w:val="701B7881"/>
    <w:rsid w:val="706C788A"/>
    <w:rsid w:val="717929A4"/>
    <w:rsid w:val="720C5558"/>
    <w:rsid w:val="720E09DF"/>
    <w:rsid w:val="72734D90"/>
    <w:rsid w:val="74846605"/>
    <w:rsid w:val="76DF5AF5"/>
    <w:rsid w:val="78092DD0"/>
    <w:rsid w:val="78473AEB"/>
    <w:rsid w:val="7A417D5D"/>
    <w:rsid w:val="7B9E0A48"/>
    <w:rsid w:val="7C482A47"/>
    <w:rsid w:val="7CCF5716"/>
    <w:rsid w:val="7CFF1FDC"/>
    <w:rsid w:val="7E0B1F1D"/>
    <w:rsid w:val="7E4247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pPr>
      <w:spacing w:before="0" w:beforeAutospacing="0" w:after="128" w:afterAutospacing="0"/>
      <w:ind w:left="0" w:right="0"/>
      <w:jc w:val="left"/>
    </w:pPr>
    <w:rPr>
      <w:kern w:val="0"/>
      <w:sz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样式 宋体 四号 蓝色 首行缩进:  2 字符"/>
    <w:basedOn w:val="1"/>
    <w:qFormat/>
    <w:uiPriority w:val="0"/>
    <w:pPr>
      <w:ind w:firstLine="560"/>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收、支决算总计变动情况图（单位：万元）</a:t>
            </a:r>
          </a:p>
        </c:rich>
      </c:tx>
      <c:layout>
        <c:manualLayout>
          <c:xMode val="edge"/>
          <c:yMode val="edge"/>
          <c:x val="0.186125"/>
          <c:y val="0.022166666666666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收入总计（万元）</c:v>
                </c:pt>
                <c:pt idx="1">
                  <c:v>支出总计（万元）</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3398.75</c:v>
                </c:pt>
                <c:pt idx="1">
                  <c:v>3398.75</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收入总计（万元）</c:v>
                </c:pt>
                <c:pt idx="1">
                  <c:v>支出总计（万元）</c:v>
                </c:pt>
              </c:strCache>
            </c:strRef>
          </c:cat>
          <c:val>
            <c:numRef>
              <c:extLst>
                <c:ext xmlns:c15="http://schemas.microsoft.com/office/drawing/2012/chart" uri="{02D57815-91ED-43cb-92C2-25804820EDAC}">
                  <c15:fullRef>
                    <c15:sqref>Sheet1!$C$2:$C$5</c15:sqref>
                  </c15:fullRef>
                </c:ext>
              </c:extLst>
              <c:f>Sheet1!$C$2:$C$3</c:f>
              <c:numCache>
                <c:formatCode>General</c:formatCode>
                <c:ptCount val="2"/>
                <c:pt idx="0">
                  <c:v>8783.23</c:v>
                </c:pt>
                <c:pt idx="1">
                  <c:v>8783.23</c:v>
                </c:pt>
              </c:numCache>
            </c:numRef>
          </c:val>
        </c:ser>
        <c:dLbls>
          <c:showLegendKey val="0"/>
          <c:showVal val="0"/>
          <c:showCatName val="0"/>
          <c:showSerName val="0"/>
          <c:showPercent val="0"/>
          <c:showBubbleSize val="0"/>
        </c:dLbls>
        <c:gapWidth val="219"/>
        <c:overlap val="-27"/>
        <c:axId val="251914318"/>
        <c:axId val="431605057"/>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dLbls>
                  <c:delete val="1"/>
                </c:dLbls>
                <c:cat>
                  <c:strRef>
                    <c:extLst>
                      <c:ext uri="{02D57815-91ED-43cb-92C2-25804820EDAC}">
                        <c15:fullRef>
                          <c15:sqref>Sheet1!$A$2:$A$5</c15:sqref>
                        </c15:fullRef>
                        <c15:formulaRef>
                          <c15:sqref>Sheet1!$A$2:$A$3</c15:sqref>
                        </c15:formulaRef>
                      </c:ext>
                    </c:extLst>
                    <c:strCache>
                      <c:ptCount val="2"/>
                      <c:pt idx="0">
                        <c:v>收入总计（万元）</c:v>
                      </c:pt>
                      <c:pt idx="1">
                        <c:v>支出总计（万元）</c:v>
                      </c:pt>
                    </c:strCache>
                  </c:strRef>
                </c:cat>
                <c:val>
                  <c:numRef>
                    <c:extLst>
                      <c:ext uri="{02D57815-91ED-43cb-92C2-25804820EDAC}">
                        <c15:fullRef>
                          <c15:sqref>Sheet1!$D$2:$D$5</c15:sqref>
                        </c15:fullRef>
                        <c15:formulaRef>
                          <c15:sqref>Sheet1!$D$2:$D$3</c15:sqref>
                        </c15:formulaRef>
                      </c:ext>
                    </c:extLst>
                    <c:numCache>
                      <c:formatCode>General</c:formatCode>
                      <c:ptCount val="2"/>
                    </c:numCache>
                  </c:numRef>
                </c:val>
              </c15:ser>
            </c15:filteredBarSeries>
          </c:ext>
        </c:extLst>
      </c:barChart>
      <c:catAx>
        <c:axId val="25191431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1605057"/>
        <c:crosses val="autoZero"/>
        <c:auto val="1"/>
        <c:lblAlgn val="ctr"/>
        <c:lblOffset val="100"/>
        <c:noMultiLvlLbl val="0"/>
      </c:catAx>
      <c:valAx>
        <c:axId val="4316050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191431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收入决算结构图（单位：万元）</a:t>
            </a:r>
          </a:p>
        </c:rich>
      </c:tx>
      <c:layout/>
      <c:overlay val="0"/>
      <c:spPr>
        <a:noFill/>
        <a:ln>
          <a:noFill/>
        </a:ln>
        <a:effectLst/>
      </c:sp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财政拨款收入</c:v>
                </c:pt>
                <c:pt idx="1">
                  <c:v>事业收入</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8608.24</c:v>
                </c:pt>
                <c:pt idx="1">
                  <c:v>174.99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支出决算结构图（单位：万元）</a:t>
            </a:r>
          </a:p>
        </c:rich>
      </c:tx>
      <c:layout>
        <c:manualLayout>
          <c:xMode val="edge"/>
          <c:yMode val="edge"/>
          <c:x val="0.29"/>
          <c:y val="0.0495"/>
        </c:manualLayout>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基本支出</c:v>
                </c:pt>
                <c:pt idx="1">
                  <c:v>项目支出</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3325.64</c:v>
                </c:pt>
                <c:pt idx="1">
                  <c:v>5457.59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财政拨款收、支决算总计变动情况（单位：万元）</a:t>
            </a:r>
          </a:p>
        </c:rich>
      </c:tx>
      <c:layout>
        <c:manualLayout>
          <c:xMode val="edge"/>
          <c:yMode val="edge"/>
          <c:x val="0.15825"/>
          <c:y val="0.029166666666666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Sheet1!$A$2:$A$3</c15:sqref>
                  </c15:fullRef>
                </c:ext>
              </c:extLst>
              <c:f>Sheet1!$A$2:$A$3</c:f>
              <c:strCache>
                <c:ptCount val="2"/>
                <c:pt idx="0">
                  <c:v>财政拨款收入决算数</c:v>
                </c:pt>
                <c:pt idx="1">
                  <c:v>财政拨款支出决算数</c:v>
                </c:pt>
              </c:strCache>
            </c:strRef>
          </c:cat>
          <c:val>
            <c:numRef>
              <c:extLst>
                <c:ext xmlns:c15="http://schemas.microsoft.com/office/drawing/2012/chart" uri="{02D57815-91ED-43cb-92C2-25804820EDAC}">
                  <c15:fullRef>
                    <c15:sqref>Sheet1!$B$2:$B$3</c15:sqref>
                  </c15:fullRef>
                </c:ext>
              </c:extLst>
              <c:f>Sheet1!$B$2:$B$3</c:f>
              <c:numCache>
                <c:formatCode>General</c:formatCode>
                <c:ptCount val="2"/>
                <c:pt idx="0">
                  <c:v>2613.7</c:v>
                </c:pt>
                <c:pt idx="1">
                  <c:v>2613.7</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Sheet1!$A$2:$A$3</c15:sqref>
                  </c15:fullRef>
                </c:ext>
              </c:extLst>
              <c:f>Sheet1!$A$2:$A$3</c:f>
              <c:strCache>
                <c:ptCount val="2"/>
                <c:pt idx="0">
                  <c:v>财政拨款收入决算数</c:v>
                </c:pt>
                <c:pt idx="1">
                  <c:v>财政拨款支出决算数</c:v>
                </c:pt>
              </c:strCache>
            </c:strRef>
          </c:cat>
          <c:val>
            <c:numRef>
              <c:extLst>
                <c:ext xmlns:c15="http://schemas.microsoft.com/office/drawing/2012/chart" uri="{02D57815-91ED-43cb-92C2-25804820EDAC}">
                  <c15:fullRef>
                    <c15:sqref>Sheet1!$C$2:$C$3</c15:sqref>
                  </c15:fullRef>
                </c:ext>
              </c:extLst>
              <c:f>Sheet1!$C$2:$C$3</c:f>
              <c:numCache>
                <c:formatCode>General</c:formatCode>
                <c:ptCount val="2"/>
                <c:pt idx="0">
                  <c:v>8608.24</c:v>
                </c:pt>
                <c:pt idx="1">
                  <c:v>8608.24</c:v>
                </c:pt>
              </c:numCache>
            </c:numRef>
          </c:val>
        </c:ser>
        <c:dLbls>
          <c:showLegendKey val="0"/>
          <c:showVal val="0"/>
          <c:showCatName val="0"/>
          <c:showSerName val="0"/>
          <c:showPercent val="0"/>
          <c:showBubbleSize val="0"/>
        </c:dLbls>
        <c:gapWidth val="219"/>
        <c:overlap val="-27"/>
        <c:axId val="937186026"/>
        <c:axId val="392402428"/>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dLbls>
                  <c:delete val="1"/>
                </c:dLbls>
                <c:cat>
                  <c:strRef>
                    <c:extLst>
                      <c:ext uri="{02D57815-91ED-43cb-92C2-25804820EDAC}">
                        <c15:fullRef>
                          <c15:sqref>Sheet1!$A$2:$A$3</c15:sqref>
                        </c15:fullRef>
                        <c15:formulaRef>
                          <c15:sqref>Sheet1!$A$2:$A$3</c15:sqref>
                        </c15:formulaRef>
                      </c:ext>
                    </c:extLst>
                    <c:strCache>
                      <c:ptCount val="2"/>
                      <c:pt idx="0">
                        <c:v>财政拨款收入决算数</c:v>
                      </c:pt>
                      <c:pt idx="1">
                        <c:v>财政拨款支出决算数</c:v>
                      </c:pt>
                    </c:strCache>
                  </c:strRef>
                </c:cat>
                <c:val>
                  <c:numRef>
                    <c:extLst>
                      <c:ext uri="{02D57815-91ED-43cb-92C2-25804820EDAC}">
                        <c15:fullRef>
                          <c15:sqref>Sheet1!$D$2:$D$3</c15:sqref>
                        </c15:fullRef>
                        <c15:formulaRef>
                          <c15:sqref>Sheet1!$D$2:$D$3</c15:sqref>
                        </c15:formulaRef>
                      </c:ext>
                    </c:extLst>
                    <c:numCache>
                      <c:formatCode>General</c:formatCode>
                      <c:ptCount val="2"/>
                      <c:pt idx="0">
                        <c:v>2</c:v>
                      </c:pt>
                      <c:pt idx="1">
                        <c:v>2</c:v>
                      </c:pt>
                    </c:numCache>
                  </c:numRef>
                </c:val>
              </c15:ser>
            </c15:filteredBarSeries>
          </c:ext>
        </c:extLst>
      </c:barChart>
      <c:catAx>
        <c:axId val="93718602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2402428"/>
        <c:crosses val="autoZero"/>
        <c:auto val="1"/>
        <c:lblAlgn val="ctr"/>
        <c:lblOffset val="100"/>
        <c:noMultiLvlLbl val="0"/>
      </c:catAx>
      <c:valAx>
        <c:axId val="3924024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718602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一般公共预算财政拨款支出决算变动情况表（单位：万元）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extLst>
                <c:ext xmlns:c15="http://schemas.microsoft.com/office/drawing/2012/chart" uri="{02D57815-91ED-43cb-92C2-25804820EDAC}">
                  <c15:fullRef>
                    <c15:sqref>Sheet1!$A$2</c15:sqref>
                  </c15:fullRef>
                </c:ext>
              </c:extLst>
              <c:f>Sheet1!$A$2</c:f>
              <c:numCache>
                <c:formatCode>General</c:formatCode>
                <c:ptCount val="1"/>
              </c:numCache>
            </c:numRef>
          </c:cat>
          <c:val>
            <c:numRef>
              <c:extLst>
                <c:ext xmlns:c15="http://schemas.microsoft.com/office/drawing/2012/chart" uri="{02D57815-91ED-43cb-92C2-25804820EDAC}">
                  <c15:fullRef>
                    <c15:sqref>Sheet1!$B$2</c15:sqref>
                  </c15:fullRef>
                </c:ext>
              </c:extLst>
              <c:f>Sheet1!$B$2</c:f>
              <c:numCache>
                <c:formatCode>General</c:formatCode>
                <c:ptCount val="1"/>
                <c:pt idx="0">
                  <c:v>2613.7</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extLst>
                <c:ext xmlns:c15="http://schemas.microsoft.com/office/drawing/2012/chart" uri="{02D57815-91ED-43cb-92C2-25804820EDAC}">
                  <c15:fullRef>
                    <c15:sqref>Sheet1!$A$2</c15:sqref>
                  </c15:fullRef>
                </c:ext>
              </c:extLst>
              <c:f>Sheet1!$A$2</c:f>
              <c:numCache>
                <c:formatCode>General</c:formatCode>
                <c:ptCount val="1"/>
              </c:numCache>
            </c:numRef>
          </c:cat>
          <c:val>
            <c:numRef>
              <c:extLst>
                <c:ext xmlns:c15="http://schemas.microsoft.com/office/drawing/2012/chart" uri="{02D57815-91ED-43cb-92C2-25804820EDAC}">
                  <c15:fullRef>
                    <c15:sqref>Sheet1!$C$2</c15:sqref>
                  </c15:fullRef>
                </c:ext>
              </c:extLst>
              <c:f>Sheet1!$C$2</c:f>
              <c:numCache>
                <c:formatCode>General</c:formatCode>
                <c:ptCount val="1"/>
                <c:pt idx="0">
                  <c:v>8608.24</c:v>
                </c:pt>
              </c:numCache>
            </c:numRef>
          </c:val>
        </c:ser>
        <c:dLbls>
          <c:showLegendKey val="0"/>
          <c:showVal val="0"/>
          <c:showCatName val="0"/>
          <c:showSerName val="0"/>
          <c:showPercent val="0"/>
          <c:showBubbleSize val="0"/>
        </c:dLbls>
        <c:gapWidth val="219"/>
        <c:overlap val="-27"/>
        <c:axId val="189543272"/>
        <c:axId val="623510353"/>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dLbls>
                  <c:delete val="1"/>
                </c:dLbls>
                <c:cat>
                  <c:numRef>
                    <c:extLst>
                      <c:ext uri="{02D57815-91ED-43cb-92C2-25804820EDAC}">
                        <c15:fullRef>
                          <c15:sqref>Sheet1!$A$2</c15:sqref>
                        </c15:fullRef>
                        <c15:formulaRef>
                          <c15:sqref>Sheet1!$A$2</c15:sqref>
                        </c15:formulaRef>
                      </c:ext>
                    </c:extLst>
                    <c:numCache>
                      <c:formatCode>General</c:formatCode>
                      <c:ptCount val="1"/>
                    </c:numCache>
                  </c:numRef>
                </c:cat>
                <c:val>
                  <c:numRef>
                    <c:extLst>
                      <c:ext uri="{02D57815-91ED-43cb-92C2-25804820EDAC}">
                        <c15:fullRef>
                          <c15:sqref>Sheet1!$D$2</c15:sqref>
                        </c15:fullRef>
                        <c15:formulaRef>
                          <c15:sqref>Sheet1!$D$2</c15:sqref>
                        </c15:formulaRef>
                      </c:ext>
                    </c:extLst>
                    <c:numCache>
                      <c:formatCode>General</c:formatCode>
                      <c:ptCount val="1"/>
                    </c:numCache>
                  </c:numRef>
                </c:val>
              </c15:ser>
            </c15:filteredBarSeries>
          </c:ext>
        </c:extLst>
      </c:barChart>
      <c:catAx>
        <c:axId val="1895432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3510353"/>
        <c:crosses val="autoZero"/>
        <c:auto val="1"/>
        <c:lblAlgn val="ctr"/>
        <c:lblOffset val="100"/>
        <c:noMultiLvlLbl val="0"/>
      </c:catAx>
      <c:valAx>
        <c:axId val="62351035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95432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一般公共预算财政拨款支出决算结构（单位：万元）</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教育支出</c:v>
                </c:pt>
                <c:pt idx="1">
                  <c:v>社会保障和就业</c:v>
                </c:pt>
                <c:pt idx="2">
                  <c:v>卫生健康支出</c:v>
                </c:pt>
                <c:pt idx="3">
                  <c:v>农林水支出</c:v>
                </c:pt>
                <c:pt idx="4">
                  <c:v>住房保障支出</c:v>
                </c:pt>
              </c:strCache>
            </c:strRef>
          </c:cat>
          <c:val>
            <c:numRef>
              <c:f>Sheet1!$B$2:$B$6</c:f>
              <c:numCache>
                <c:formatCode>General</c:formatCode>
                <c:ptCount val="5"/>
                <c:pt idx="0">
                  <c:v>100</c:v>
                </c:pt>
                <c:pt idx="1">
                  <c:v>459.65</c:v>
                </c:pt>
                <c:pt idx="2">
                  <c:v>116</c:v>
                </c:pt>
                <c:pt idx="3">
                  <c:v>7681.59</c:v>
                </c:pt>
                <c:pt idx="4">
                  <c:v>251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C7602-F64C-4C8E-92A1-821E23A4E59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4</TotalTime>
  <ScaleCrop>false</ScaleCrop>
  <LinksUpToDate>false</LinksUpToDate>
  <CharactersWithSpaces>8692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`L</cp:lastModifiedBy>
  <cp:lastPrinted>2021-08-17T08:06:00Z</cp:lastPrinted>
  <dcterms:modified xsi:type="dcterms:W3CDTF">2021-09-08T08:16:38Z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