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center"/>
        <w:textAlignment w:val="auto"/>
        <w:rPr>
          <w:rFonts w:hint="default" w:ascii="Times New Roman" w:hAnsi="Times New Roman" w:eastAsia="方正小标宋_GBK"/>
          <w:sz w:val="44"/>
          <w:szCs w:val="44"/>
          <w:lang w:val="en-US" w:eastAsia="zh-CN"/>
        </w:rPr>
      </w:pPr>
      <w:bookmarkStart w:id="0" w:name="_GoBack"/>
      <w:bookmarkEnd w:id="0"/>
      <w:r>
        <w:rPr>
          <w:rFonts w:hint="eastAsia" w:ascii="Times New Roman" w:hAnsi="Times New Roman" w:eastAsia="方正小标宋_GBK"/>
          <w:sz w:val="44"/>
          <w:szCs w:val="44"/>
          <w:lang w:val="en-US" w:eastAsia="zh-CN"/>
        </w:rPr>
        <w:t>四川省都江堰水利发展中心</w:t>
      </w:r>
    </w:p>
    <w:p>
      <w:pPr>
        <w:keepNext w:val="0"/>
        <w:keepLines w:val="0"/>
        <w:pageBreakBefore w:val="0"/>
        <w:kinsoku/>
        <w:overflowPunct/>
        <w:topLinePunct w:val="0"/>
        <w:autoSpaceDE/>
        <w:autoSpaceDN/>
        <w:bidi w:val="0"/>
        <w:adjustRightInd/>
        <w:spacing w:line="540" w:lineRule="exact"/>
        <w:ind w:firstLine="1320" w:firstLineChars="300"/>
        <w:jc w:val="both"/>
        <w:textAlignment w:val="auto"/>
        <w:rPr>
          <w:rFonts w:ascii="Times New Roman" w:hAnsi="Times New Roman" w:eastAsia="仿宋_GB2312"/>
          <w:bCs/>
          <w:sz w:val="32"/>
          <w:szCs w:val="32"/>
        </w:rPr>
      </w:pPr>
      <w:r>
        <w:rPr>
          <w:rFonts w:hint="eastAsia" w:ascii="Times New Roman" w:hAnsi="Times New Roman" w:eastAsia="方正小标宋_GBK"/>
          <w:sz w:val="44"/>
          <w:szCs w:val="44"/>
        </w:rPr>
        <w:t>都江堰景区</w:t>
      </w:r>
      <w:r>
        <w:rPr>
          <w:rFonts w:hint="eastAsia" w:ascii="Times New Roman" w:hAnsi="Times New Roman" w:eastAsia="方正小标宋_GBK"/>
          <w:sz w:val="44"/>
          <w:szCs w:val="44"/>
          <w:lang w:val="en-US" w:eastAsia="zh-CN"/>
        </w:rPr>
        <w:t>13</w:t>
      </w:r>
      <w:r>
        <w:rPr>
          <w:rFonts w:hint="eastAsia" w:ascii="Times New Roman" w:hAnsi="Times New Roman" w:eastAsia="方正小标宋_GBK"/>
          <w:sz w:val="44"/>
          <w:szCs w:val="44"/>
        </w:rPr>
        <w:t>个点位</w:t>
      </w:r>
      <w:r>
        <w:rPr>
          <w:rFonts w:ascii="Times New Roman" w:hAnsi="Times New Roman" w:eastAsia="方正小标宋_GBK"/>
          <w:sz w:val="44"/>
          <w:szCs w:val="44"/>
        </w:rPr>
        <w:t>招租方案</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按照《四川省都江堰水利发展中心国有资产出租出借暂行管理办法》的相关规定，四川省都江堰水利发展中心</w:t>
      </w:r>
      <w:r>
        <w:rPr>
          <w:rFonts w:hint="eastAsia" w:ascii="仿宋_GB2312" w:hAnsi="仿宋_GB2312" w:eastAsia="仿宋_GB2312" w:cs="仿宋_GB2312"/>
          <w:color w:val="000000" w:themeColor="text1"/>
          <w:sz w:val="28"/>
          <w:szCs w:val="28"/>
          <w14:textFill>
            <w14:solidFill>
              <w14:schemeClr w14:val="tx1"/>
            </w14:solidFill>
          </w14:textFill>
        </w:rPr>
        <w:t>（以下简称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）拟对</w:t>
      </w:r>
      <w:r>
        <w:rPr>
          <w:rFonts w:hint="eastAsia" w:ascii="仿宋_GB2312" w:hAnsi="仿宋_GB2312" w:eastAsia="仿宋_GB2312" w:cs="仿宋_GB2312"/>
          <w:bCs/>
          <w:color w:val="000000" w:themeColor="text1"/>
          <w:sz w:val="28"/>
          <w:szCs w:val="28"/>
          <w14:textFill>
            <w14:solidFill>
              <w14:schemeClr w14:val="tx1"/>
            </w14:solidFill>
          </w14:textFill>
        </w:rPr>
        <w:t>都江堰景区</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Cs/>
          <w:color w:val="000000" w:themeColor="text1"/>
          <w:sz w:val="28"/>
          <w:szCs w:val="28"/>
          <w14:textFill>
            <w14:solidFill>
              <w14:schemeClr w14:val="tx1"/>
            </w14:solidFill>
          </w14:textFill>
        </w:rPr>
        <w:t>个点位进行</w:t>
      </w:r>
      <w:r>
        <w:rPr>
          <w:rFonts w:hint="eastAsia" w:ascii="仿宋_GB2312" w:hAnsi="仿宋_GB2312" w:eastAsia="仿宋_GB2312" w:cs="仿宋_GB2312"/>
          <w:color w:val="000000" w:themeColor="text1"/>
          <w:sz w:val="28"/>
          <w:szCs w:val="28"/>
          <w14:textFill>
            <w14:solidFill>
              <w14:schemeClr w14:val="tx1"/>
            </w14:solidFill>
          </w14:textFill>
        </w:rPr>
        <w:t>公开竞价招租（以下简称“竞租”）</w:t>
      </w:r>
      <w:r>
        <w:rPr>
          <w:rFonts w:hint="eastAsia" w:ascii="仿宋_GB2312" w:hAnsi="仿宋_GB2312" w:eastAsia="仿宋_GB2312" w:cs="仿宋_GB2312"/>
          <w:bCs/>
          <w:color w:val="000000" w:themeColor="text1"/>
          <w:sz w:val="28"/>
          <w:szCs w:val="28"/>
          <w14:textFill>
            <w14:solidFill>
              <w14:schemeClr w14:val="tx1"/>
            </w14:solidFill>
          </w14:textFill>
        </w:rPr>
        <w:t>，招租方案拟定如下。</w:t>
      </w:r>
    </w:p>
    <w:p>
      <w:pPr>
        <w:keepNext w:val="0"/>
        <w:keepLines w:val="0"/>
        <w:pageBreakBefore w:val="0"/>
        <w:numPr>
          <w:ilvl w:val="0"/>
          <w:numId w:val="1"/>
        </w:numPr>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竞租标的</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都江堰景区中的</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鱼嘴售货亭（房屋测绘编号2号），外江闸管理房（房屋测绘编号4号），工业闸旁仿古售货亭（房屋测绘编号8号），飞沙堰管理房（房屋测绘编号12</w:t>
      </w:r>
      <w:r>
        <w:rPr>
          <w:rFonts w:hint="eastAsia" w:ascii="微软雅黑" w:hAnsi="微软雅黑" w:eastAsia="微软雅黑" w:cs="微软雅黑"/>
          <w:bCs/>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19号），飞沙堰管理房（房屋测绘编号21</w:t>
      </w:r>
      <w:r>
        <w:rPr>
          <w:rFonts w:hint="eastAsia" w:ascii="微软雅黑" w:hAnsi="微软雅黑" w:eastAsia="微软雅黑" w:cs="微软雅黑"/>
          <w:bCs/>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23号），景区后门售货亭（房屋测绘编号24号）,共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Cs/>
          <w:color w:val="000000" w:themeColor="text1"/>
          <w:sz w:val="28"/>
          <w:szCs w:val="28"/>
          <w14:textFill>
            <w14:solidFill>
              <w14:schemeClr w14:val="tx1"/>
            </w14:solidFill>
          </w14:textFill>
        </w:rPr>
        <w:t>个点位</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整体打包出租</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（具体位置，以</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都发中心测绘编号</w:t>
      </w:r>
      <w:r>
        <w:rPr>
          <w:rFonts w:hint="eastAsia" w:ascii="仿宋_GB2312" w:hAnsi="仿宋_GB2312" w:eastAsia="仿宋_GB2312" w:cs="仿宋_GB2312"/>
          <w:bCs/>
          <w:color w:val="000000" w:themeColor="text1"/>
          <w:sz w:val="28"/>
          <w:szCs w:val="28"/>
          <w14:textFill>
            <w14:solidFill>
              <w14:schemeClr w14:val="tx1"/>
            </w14:solidFill>
          </w14:textFill>
        </w:rPr>
        <w:t>指定位置为准）。</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二、招租方式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本次招租按照公开、公平、公正原则，在公开平台</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都发中心官方网站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发布竞租公告征集意向方，通过竞租的方式，由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自行组织竞价确定承租人。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三、招租</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业态限定</w:t>
      </w:r>
      <w:r>
        <w:rPr>
          <w:rFonts w:hint="eastAsia" w:ascii="仿宋_GB2312" w:hAnsi="仿宋_GB2312" w:eastAsia="仿宋_GB2312" w:cs="仿宋_GB2312"/>
          <w:color w:val="000000" w:themeColor="text1"/>
          <w:sz w:val="28"/>
          <w:szCs w:val="28"/>
          <w14:textFill>
            <w14:solidFill>
              <w14:schemeClr w14:val="tx1"/>
            </w14:solidFill>
          </w14:textFill>
        </w:rPr>
        <w:t>、经营行为、租赁期限</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（一）业态限定：</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为游客提供</w:t>
      </w:r>
      <w:r>
        <w:rPr>
          <w:rFonts w:hint="eastAsia" w:ascii="仿宋_GB2312" w:hAnsi="仿宋_GB2312" w:eastAsia="仿宋_GB2312" w:cs="仿宋_GB2312"/>
          <w:color w:val="000000" w:themeColor="text1"/>
          <w:spacing w:val="9"/>
          <w:sz w:val="28"/>
          <w:szCs w:val="28"/>
          <w14:textFill>
            <w14:solidFill>
              <w14:schemeClr w14:val="tx1"/>
            </w14:solidFill>
          </w14:textFill>
        </w:rPr>
        <w:t>旅游纪念品销售、特色商品、预包装食品、小吃等，</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不得有油烟，不得经营炒、煎、炸、烧烤等不符合创建5A级景区的经营项目</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default" w:ascii="仿宋_GB2312" w:hAnsi="宋体" w:eastAsia="仿宋_GB2312" w:cs="仿宋_GB2312"/>
          <w:i w:val="0"/>
          <w:iCs w:val="0"/>
          <w:caps w:val="0"/>
          <w:color w:val="333333"/>
          <w:spacing w:val="9"/>
          <w:sz w:val="30"/>
          <w:szCs w:val="30"/>
          <w:shd w:val="clear" w:fill="FFFFFF"/>
        </w:rPr>
        <w:t>（不符合都江堰景区管理相关规定的除外）</w:t>
      </w:r>
    </w:p>
    <w:p>
      <w:pPr>
        <w:keepNext w:val="0"/>
        <w:keepLines w:val="0"/>
        <w:pageBreakBefore w:val="0"/>
        <w:kinsoku/>
        <w:overflowPunct/>
        <w:topLinePunct w:val="0"/>
        <w:autoSpaceDE/>
        <w:autoSpaceDN/>
        <w:bidi w:val="0"/>
        <w:adjustRightInd/>
        <w:spacing w:line="540" w:lineRule="exact"/>
        <w:ind w:firstLine="555"/>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经营行为：具体经营过程中，禁止叫卖拉客等不文明行为，须服从景区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相关部门管理。</w:t>
      </w:r>
    </w:p>
    <w:p>
      <w:pPr>
        <w:keepNext w:val="0"/>
        <w:keepLines w:val="0"/>
        <w:pageBreakBefore w:val="0"/>
        <w:kinsoku/>
        <w:overflowPunct/>
        <w:topLinePunct w:val="0"/>
        <w:autoSpaceDE/>
        <w:autoSpaceDN/>
        <w:bidi w:val="0"/>
        <w:adjustRightInd/>
        <w:spacing w:line="540" w:lineRule="exact"/>
        <w:ind w:firstLine="555"/>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zh-TW"/>
          <w14:textFill>
            <w14:solidFill>
              <w14:schemeClr w14:val="tx1"/>
            </w14:solidFill>
          </w14:textFill>
        </w:rPr>
        <w:t>租赁期限：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四、竞租方法、租金收取</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（一）竞租方法  </w:t>
      </w:r>
    </w:p>
    <w:p>
      <w:pPr>
        <w:keepNext w:val="0"/>
        <w:keepLines w:val="0"/>
        <w:pageBreakBefore w:val="0"/>
        <w:kinsoku/>
        <w:overflowPunct/>
        <w:topLinePunct w:val="0"/>
        <w:autoSpaceDE/>
        <w:autoSpaceDN/>
        <w:bidi w:val="0"/>
        <w:adjustRightInd/>
        <w:spacing w:line="540" w:lineRule="exact"/>
        <w:ind w:firstLine="555"/>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1. 年租金底价：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以都发中心评估价为准</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竞价方式：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核验资料。竞租委员会成员现场核验所有竞租人提交的竞租申请文件，符合竞租人资格条件要求的竞租人可以参加后续报价和竞价阶段。</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现场竞价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以评估价</w:t>
      </w:r>
      <w:r>
        <w:rPr>
          <w:rFonts w:hint="eastAsia" w:ascii="仿宋_GB2312" w:hAnsi="仿宋_GB2312" w:eastAsia="仿宋_GB2312" w:cs="仿宋_GB2312"/>
          <w:color w:val="000000" w:themeColor="text1"/>
          <w:sz w:val="28"/>
          <w:szCs w:val="28"/>
          <w14:textFill>
            <w14:solidFill>
              <w14:schemeClr w14:val="tx1"/>
            </w14:solidFill>
          </w14:textFill>
        </w:rPr>
        <w:t>作为竞价起拍价，竞租人可以现场举牌竞价，每次举牌即增幅人民币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10000</w:t>
      </w:r>
      <w:r>
        <w:rPr>
          <w:rFonts w:hint="eastAsia" w:ascii="仿宋_GB2312" w:hAnsi="仿宋_GB2312" w:eastAsia="仿宋_GB2312" w:cs="仿宋_GB2312"/>
          <w:color w:val="000000" w:themeColor="text1"/>
          <w:sz w:val="28"/>
          <w:szCs w:val="28"/>
          <w14:textFill>
            <w14:solidFill>
              <w14:schemeClr w14:val="tx1"/>
            </w14:solidFill>
          </w14:textFill>
        </w:rPr>
        <w:t>元。最终竞价最高者为竞租中标人。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（二）租金收取</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租金采取先付后用，一年一付的方式。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（一）竞租保证金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1、收取。竞租人在报名竞租时，交纳竞租保证金，竞租保证金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为49万元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2、退还。竞价中标人在竞租成功后的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个工作日内与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签订租赁协议、履行相关义务后，竞租保证金转为履约保证金，若未在规定时间内与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中心</w:t>
      </w:r>
      <w:r>
        <w:rPr>
          <w:rFonts w:hint="eastAsia" w:ascii="仿宋_GB2312" w:hAnsi="仿宋_GB2312" w:eastAsia="仿宋_GB2312" w:cs="仿宋_GB2312"/>
          <w:color w:val="000000" w:themeColor="text1"/>
          <w:sz w:val="28"/>
          <w:szCs w:val="28"/>
          <w14:textFill>
            <w14:solidFill>
              <w14:schemeClr w14:val="tx1"/>
            </w14:solidFill>
          </w14:textFill>
        </w:rPr>
        <w:t>签订租赁协议，竞租保证金不予退还，并取消中标人资格。竞租未成功者，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中心</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个工作日内将竞租保证金无息全额原路径退还竞租人。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（二）合同履约保证金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1、收取。</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履约保证金为竞价中标人交纳的竞租保证金。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2、退还。同时满足如下全部条件后，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个工作日内可以将履约保证金无息全额退还承租方：</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（1）《都江堰景区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13个</w:t>
      </w:r>
      <w:r>
        <w:rPr>
          <w:rFonts w:hint="eastAsia" w:ascii="仿宋_GB2312" w:hAnsi="仿宋_GB2312" w:eastAsia="仿宋_GB2312" w:cs="仿宋_GB2312"/>
          <w:color w:val="000000" w:themeColor="text1"/>
          <w:sz w:val="28"/>
          <w:szCs w:val="28"/>
          <w14:textFill>
            <w14:solidFill>
              <w14:schemeClr w14:val="tx1"/>
            </w14:solidFill>
          </w14:textFill>
        </w:rPr>
        <w:t>点位租赁协议》终止或解除后，承租方按约退场并将使用点位清理干净；</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（2）承租方无《都江堰景区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13个</w:t>
      </w:r>
      <w:r>
        <w:rPr>
          <w:rFonts w:hint="eastAsia" w:ascii="仿宋_GB2312" w:hAnsi="仿宋_GB2312" w:eastAsia="仿宋_GB2312" w:cs="仿宋_GB2312"/>
          <w:color w:val="000000" w:themeColor="text1"/>
          <w:sz w:val="28"/>
          <w:szCs w:val="28"/>
          <w14:textFill>
            <w14:solidFill>
              <w14:schemeClr w14:val="tx1"/>
            </w14:solidFill>
          </w14:textFill>
        </w:rPr>
        <w:t>点位租赁协议》约定的违约情形；</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（3）承租方已结清相关费用；</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（4）承租方与业主方确认双方租赁事宜已完结并签署权利义务终结确认书。</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六、竞租人资格条件要求</w:t>
      </w:r>
    </w:p>
    <w:p>
      <w:pPr>
        <w:spacing w:line="520" w:lineRule="exact"/>
        <w:ind w:firstLine="636" w:firstLineChars="200"/>
        <w:rPr>
          <w:rFonts w:hint="eastAsia" w:ascii="仿宋_GB2312" w:hAnsi="仿宋_GB2312" w:eastAsia="仿宋_GB2312" w:cs="仿宋_GB2312"/>
          <w:color w:val="000000" w:themeColor="text1"/>
          <w:sz w:val="30"/>
          <w:szCs w:val="30"/>
          <w:highlight w:val="none"/>
          <w:lang w:val="zh-TW" w:eastAsia="zh-TW"/>
          <w14:textFill>
            <w14:solidFill>
              <w14:schemeClr w14:val="tx1"/>
            </w14:solidFill>
          </w14:textFill>
        </w:rPr>
      </w:pPr>
      <w:r>
        <w:rPr>
          <w:rFonts w:hint="eastAsia" w:ascii="仿宋_GB2312" w:hAnsi="仿宋_GB2312" w:eastAsia="仿宋_GB2312" w:cs="仿宋_GB2312"/>
          <w:color w:val="000000" w:themeColor="text1"/>
          <w:spacing w:val="9"/>
          <w:sz w:val="30"/>
          <w:szCs w:val="30"/>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9"/>
          <w:sz w:val="30"/>
          <w:szCs w:val="30"/>
          <w:highlight w:val="none"/>
          <w14:textFill>
            <w14:solidFill>
              <w14:schemeClr w14:val="tx1"/>
            </w14:solidFill>
          </w14:textFill>
        </w:rPr>
        <w:t>具有完全民事</w:t>
      </w:r>
      <w:r>
        <w:rPr>
          <w:rFonts w:hint="eastAsia" w:ascii="仿宋_GB2312" w:hAnsi="仿宋_GB2312" w:eastAsia="仿宋_GB2312" w:cs="仿宋_GB2312"/>
          <w:color w:val="000000" w:themeColor="text1"/>
          <w:spacing w:val="9"/>
          <w:sz w:val="30"/>
          <w:szCs w:val="30"/>
          <w:highlight w:val="none"/>
          <w:lang w:val="en-US" w:eastAsia="zh-CN"/>
          <w14:textFill>
            <w14:solidFill>
              <w14:schemeClr w14:val="tx1"/>
            </w14:solidFill>
          </w14:textFill>
        </w:rPr>
        <w:t>行为</w:t>
      </w:r>
      <w:r>
        <w:rPr>
          <w:rFonts w:hint="eastAsia" w:ascii="仿宋_GB2312" w:hAnsi="仿宋_GB2312" w:eastAsia="仿宋_GB2312" w:cs="仿宋_GB2312"/>
          <w:color w:val="000000" w:themeColor="text1"/>
          <w:spacing w:val="9"/>
          <w:sz w:val="30"/>
          <w:szCs w:val="30"/>
          <w:highlight w:val="none"/>
          <w14:textFill>
            <w14:solidFill>
              <w14:schemeClr w14:val="tx1"/>
            </w14:solidFill>
          </w14:textFill>
        </w:rPr>
        <w:t>能力</w:t>
      </w:r>
      <w:r>
        <w:rPr>
          <w:rFonts w:hint="eastAsia" w:ascii="仿宋_GB2312" w:hAnsi="仿宋_GB2312" w:eastAsia="仿宋_GB2312" w:cs="仿宋_GB2312"/>
          <w:color w:val="000000" w:themeColor="text1"/>
          <w:sz w:val="30"/>
          <w:szCs w:val="30"/>
          <w:highlight w:val="none"/>
          <w:lang w:val="zh-TW"/>
          <w14:textFill>
            <w14:solidFill>
              <w14:schemeClr w14:val="tx1"/>
            </w14:solidFill>
          </w14:textFill>
        </w:rPr>
        <w:t>、具有良好商业信用、财务状况和支付能力的</w:t>
      </w:r>
      <w:r>
        <w:rPr>
          <w:rFonts w:hint="eastAsia" w:ascii="仿宋_GB2312" w:hAnsi="仿宋_GB2312" w:eastAsia="仿宋_GB2312" w:cs="仿宋_GB2312"/>
          <w:color w:val="000000" w:themeColor="text1"/>
          <w:sz w:val="30"/>
          <w:szCs w:val="30"/>
          <w:highlight w:val="none"/>
          <w:lang w:val="zh-TW" w:eastAsia="zh-TW"/>
          <w14:textFill>
            <w14:solidFill>
              <w14:schemeClr w14:val="tx1"/>
            </w14:solidFill>
          </w14:textFill>
        </w:rPr>
        <w:t>企业</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0"/>
          <w:szCs w:val="30"/>
          <w:highlight w:val="none"/>
          <w:lang w:val="zh-TW"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lang w:val="zh-TW" w:eastAsia="zh-TW"/>
          <w14:textFill>
            <w14:solidFill>
              <w14:schemeClr w14:val="tx1"/>
            </w14:solidFill>
          </w14:textFill>
        </w:rPr>
        <w:t>。</w:t>
      </w:r>
    </w:p>
    <w:p>
      <w:pPr>
        <w:spacing w:line="520" w:lineRule="exact"/>
        <w:ind w:firstLine="600" w:firstLineChars="200"/>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2、竞租人需要有5年以上“5A”景区管理的从业经验。</w:t>
      </w:r>
    </w:p>
    <w:p>
      <w:pPr>
        <w:spacing w:line="520" w:lineRule="exact"/>
        <w:ind w:firstLine="600" w:firstLineChars="200"/>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3、竞租人必须遵守都发中心和都江堰景区的业态规划（部分点位须作为公益使用）。</w:t>
      </w:r>
    </w:p>
    <w:p>
      <w:pPr>
        <w:spacing w:line="520" w:lineRule="exact"/>
        <w:ind w:firstLine="600" w:firstLineChars="200"/>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4、公司注册成立时间不低于10年。</w:t>
      </w:r>
    </w:p>
    <w:p>
      <w:pPr>
        <w:spacing w:line="520" w:lineRule="exact"/>
        <w:ind w:firstLine="600" w:firstLineChars="200"/>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5、公司注册资本不低于400万元。</w:t>
      </w:r>
    </w:p>
    <w:p>
      <w:pPr>
        <w:spacing w:line="5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七、其他披露事项                                                                                                                                                                              </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不接受联合体报名。</w:t>
      </w:r>
    </w:p>
    <w:p>
      <w:pPr>
        <w:keepNext w:val="0"/>
        <w:keepLines w:val="0"/>
        <w:pageBreakBefore w:val="0"/>
        <w:widowControl/>
        <w:kinsoku/>
        <w:overflowPunct/>
        <w:topLinePunct w:val="0"/>
        <w:autoSpaceDE/>
        <w:autoSpaceDN/>
        <w:bidi w:val="0"/>
        <w:adjustRightInd/>
        <w:snapToGrid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竞租人参与本次竞价视为已完成对本次标的物的全面调查了解，已对标的物权利及物理现状等相关状况及瑕疵进行了充分了解并认可，并对竞租全面负责，自行承担包括但不限于因所获取的标的物信息不全面、产生误解等而产生的相应责任。</w:t>
      </w:r>
    </w:p>
    <w:p>
      <w:pPr>
        <w:keepNext w:val="0"/>
        <w:keepLines w:val="0"/>
        <w:pageBreakBefore w:val="0"/>
        <w:kinsoku/>
        <w:overflowPunct/>
        <w:topLinePunct w:val="0"/>
        <w:autoSpaceDE/>
        <w:autoSpaceDN/>
        <w:bidi w:val="0"/>
        <w:adjustRightInd/>
        <w:spacing w:line="540" w:lineRule="exact"/>
        <w:ind w:right="640" w:firstLine="3080" w:firstLineChars="1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pacing w:line="540" w:lineRule="exact"/>
        <w:ind w:right="640" w:firstLine="3920" w:firstLineChars="14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四川省都江堰水利发展中心</w:t>
      </w:r>
    </w:p>
    <w:p>
      <w:pPr>
        <w:keepNext w:val="0"/>
        <w:keepLines w:val="0"/>
        <w:pageBreakBefore w:val="0"/>
        <w:kinsoku/>
        <w:overflowPunct/>
        <w:topLinePunct w:val="0"/>
        <w:autoSpaceDE/>
        <w:autoSpaceDN/>
        <w:bidi w:val="0"/>
        <w:adjustRightInd/>
        <w:spacing w:line="540" w:lineRule="exact"/>
        <w:ind w:right="640" w:firstLine="4760" w:firstLineChars="17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8月19日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B20C"/>
    <w:multiLevelType w:val="singleLevel"/>
    <w:tmpl w:val="0078B2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DZmMjg3YTk5ZmUxN2RhODEzZDg4NDE4ZWY1ODIifQ=="/>
    <w:docVar w:name="KGWebUrl" w:val="http://119.6.230.2:8030/seeyon/officeservlet"/>
  </w:docVars>
  <w:rsids>
    <w:rsidRoot w:val="00000000"/>
    <w:rsid w:val="024907BD"/>
    <w:rsid w:val="026906BD"/>
    <w:rsid w:val="02FE38AF"/>
    <w:rsid w:val="05FF31D4"/>
    <w:rsid w:val="06F2533E"/>
    <w:rsid w:val="06FA3822"/>
    <w:rsid w:val="0AD211C7"/>
    <w:rsid w:val="0B385378"/>
    <w:rsid w:val="0CA710DF"/>
    <w:rsid w:val="0DBF07F5"/>
    <w:rsid w:val="0EED3DC3"/>
    <w:rsid w:val="0FC41113"/>
    <w:rsid w:val="10066A76"/>
    <w:rsid w:val="11934495"/>
    <w:rsid w:val="120B5B8E"/>
    <w:rsid w:val="1216361C"/>
    <w:rsid w:val="12BC13F9"/>
    <w:rsid w:val="12E070F9"/>
    <w:rsid w:val="13F54288"/>
    <w:rsid w:val="16B244DB"/>
    <w:rsid w:val="172B401D"/>
    <w:rsid w:val="1BE84436"/>
    <w:rsid w:val="1E4F4AFD"/>
    <w:rsid w:val="1FED26C3"/>
    <w:rsid w:val="2010022D"/>
    <w:rsid w:val="204340DF"/>
    <w:rsid w:val="227A4A56"/>
    <w:rsid w:val="261C161C"/>
    <w:rsid w:val="28230DCD"/>
    <w:rsid w:val="286E1525"/>
    <w:rsid w:val="288E3259"/>
    <w:rsid w:val="296A3A82"/>
    <w:rsid w:val="2A5A1A2F"/>
    <w:rsid w:val="2A802CF0"/>
    <w:rsid w:val="2CDF446E"/>
    <w:rsid w:val="2E417484"/>
    <w:rsid w:val="2F436F36"/>
    <w:rsid w:val="32C655A6"/>
    <w:rsid w:val="37453EE7"/>
    <w:rsid w:val="386E0EF0"/>
    <w:rsid w:val="3A2F2A82"/>
    <w:rsid w:val="3D6537DC"/>
    <w:rsid w:val="3DA36040"/>
    <w:rsid w:val="3E021E25"/>
    <w:rsid w:val="3EC20D16"/>
    <w:rsid w:val="3FBF405F"/>
    <w:rsid w:val="3FC0461E"/>
    <w:rsid w:val="408C795E"/>
    <w:rsid w:val="41C50C60"/>
    <w:rsid w:val="43947908"/>
    <w:rsid w:val="44372B02"/>
    <w:rsid w:val="48533116"/>
    <w:rsid w:val="4B13706F"/>
    <w:rsid w:val="4DB94989"/>
    <w:rsid w:val="4F653FB6"/>
    <w:rsid w:val="4FC50A01"/>
    <w:rsid w:val="5055260B"/>
    <w:rsid w:val="511C0E24"/>
    <w:rsid w:val="515F6D42"/>
    <w:rsid w:val="51886EFD"/>
    <w:rsid w:val="52961753"/>
    <w:rsid w:val="546A3F1E"/>
    <w:rsid w:val="56DE116E"/>
    <w:rsid w:val="586B689E"/>
    <w:rsid w:val="5A054AAB"/>
    <w:rsid w:val="5A84612E"/>
    <w:rsid w:val="5ABD3B5F"/>
    <w:rsid w:val="5DEE7A70"/>
    <w:rsid w:val="5F320029"/>
    <w:rsid w:val="618E3FCB"/>
    <w:rsid w:val="674A3391"/>
    <w:rsid w:val="68682EB7"/>
    <w:rsid w:val="69701294"/>
    <w:rsid w:val="697A1C60"/>
    <w:rsid w:val="6A3C43DE"/>
    <w:rsid w:val="6AE21FF0"/>
    <w:rsid w:val="6BB776E5"/>
    <w:rsid w:val="6DD537BC"/>
    <w:rsid w:val="6E4C7188"/>
    <w:rsid w:val="6F147A42"/>
    <w:rsid w:val="6F5B2146"/>
    <w:rsid w:val="6FD26F3F"/>
    <w:rsid w:val="750F68C4"/>
    <w:rsid w:val="75C005F6"/>
    <w:rsid w:val="75D84A09"/>
    <w:rsid w:val="78E0775F"/>
    <w:rsid w:val="7D782899"/>
    <w:rsid w:val="7E2748F9"/>
    <w:rsid w:val="7E535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1354</Words>
  <Characters>1393</Characters>
  <Lines>0</Lines>
  <Paragraphs>0</Paragraphs>
  <TotalTime>22</TotalTime>
  <ScaleCrop>false</ScaleCrop>
  <LinksUpToDate>false</LinksUpToDate>
  <CharactersWithSpaces>1573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2022-05-19T11:35:00Z</dcterms:created>
  <dc:creator>凭海临风</dc:creator>
  <cp:lastModifiedBy>刘文玲</cp:lastModifiedBy>
  <cp:lastPrinted>2022-07-04T03:01:00Z</cp:lastPrinted>
  <dcterms:modified xsi:type="dcterms:W3CDTF">2022-08-25T02:16:40Z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62F012BC12E245ABA9AE8C4CC5BF6BF6</vt:lpwstr>
  </property>
</Properties>
</file>