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pacing w:line="540" w:lineRule="exact"/>
        <w:jc w:val="center"/>
        <w:textAlignment w:val="auto"/>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四川省都江堰水利发展中心</w:t>
      </w:r>
    </w:p>
    <w:p>
      <w:pPr>
        <w:keepNext w:val="0"/>
        <w:keepLines w:val="0"/>
        <w:pageBreakBefore w:val="0"/>
        <w:kinsoku/>
        <w:overflowPunct/>
        <w:topLinePunct w:val="0"/>
        <w:autoSpaceDE/>
        <w:autoSpaceDN/>
        <w:bidi w:val="0"/>
        <w:adjustRightInd/>
        <w:spacing w:line="540" w:lineRule="exact"/>
        <w:jc w:val="center"/>
        <w:textAlignment w:val="auto"/>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成都市青羊区青羊横街和青白江区政府北路资产招租方案</w:t>
      </w:r>
    </w:p>
    <w:p>
      <w:pPr>
        <w:keepNext w:val="0"/>
        <w:keepLines w:val="0"/>
        <w:pageBreakBefore w:val="0"/>
        <w:kinsoku/>
        <w:overflowPunct/>
        <w:topLinePunct w:val="0"/>
        <w:autoSpaceDE/>
        <w:autoSpaceDN/>
        <w:bidi w:val="0"/>
        <w:adjustRightInd/>
        <w:spacing w:line="540" w:lineRule="exact"/>
        <w:ind w:firstLine="560" w:firstLineChars="20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bookmarkStart w:id="0" w:name="_GoBack"/>
      <w:bookmarkEnd w:id="0"/>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四川省都江堰水利发展中心国有资产出租出借暂行管理办法》的相关规定，四川省都江堰水利发展中心（以下简称都发中心）拟对位于成都市青羊横街和青白江区政府北路资产进行公开招租，招租方案拟定如下。</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一、招租标的</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1.成都市青羊区青羊横街15号：-1层14个车位及1层2间商业用房（面积186㎡）。</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微软雅黑" w:eastAsia="仿宋_GB2312" w:cs="仿宋_GB2312"/>
          <w:i w:val="0"/>
          <w:iCs w:val="0"/>
          <w:caps w:val="0"/>
          <w:snapToGrid w:val="0"/>
          <w:color w:val="auto"/>
          <w:spacing w:val="9"/>
          <w:kern w:val="0"/>
          <w:sz w:val="32"/>
          <w:szCs w:val="32"/>
          <w:shd w:val="clear" w:fill="FFFFFF"/>
          <w:lang w:val="en-US" w:eastAsia="zh-CN" w:bidi="ar"/>
        </w:rPr>
        <w:t>青白江区政府北路186号、188号、190号、192号的1层和2层商业用房（面积600㎡）</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二、招租方式</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本次招租按照公开、公平、公正原则，在公开平台（都发中心官方网站）发布招租公告征集意向方，由都发中心自行组织招租，确定承租人。</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微软雅黑" w:eastAsia="仿宋_GB2312" w:cs="仿宋_GB2312"/>
          <w:i w:val="0"/>
          <w:iCs w:val="0"/>
          <w:caps w:val="0"/>
          <w:snapToGrid w:val="0"/>
          <w:color w:val="auto"/>
          <w:spacing w:val="9"/>
          <w:kern w:val="0"/>
          <w:sz w:val="32"/>
          <w:szCs w:val="32"/>
          <w:shd w:val="clear" w:fill="FFFFFF"/>
          <w:lang w:val="en-US" w:eastAsia="zh-CN" w:bidi="ar"/>
        </w:rPr>
      </w:pPr>
      <w:r>
        <w:rPr>
          <w:rFonts w:hint="eastAsia" w:ascii="仿宋_GB2312" w:hAnsi="仿宋_GB2312" w:eastAsia="仿宋_GB2312" w:cs="仿宋_GB2312"/>
          <w:sz w:val="32"/>
          <w:szCs w:val="32"/>
          <w:lang w:val="en-US" w:eastAsia="zh-CN"/>
        </w:rPr>
        <w:t>三、</w:t>
      </w:r>
      <w:r>
        <w:rPr>
          <w:rFonts w:hint="eastAsia" w:ascii="仿宋_GB2312" w:hAnsi="微软雅黑" w:eastAsia="仿宋_GB2312" w:cs="仿宋_GB2312"/>
          <w:i w:val="0"/>
          <w:iCs w:val="0"/>
          <w:caps w:val="0"/>
          <w:snapToGrid w:val="0"/>
          <w:color w:val="auto"/>
          <w:spacing w:val="9"/>
          <w:kern w:val="0"/>
          <w:sz w:val="32"/>
          <w:szCs w:val="32"/>
          <w:shd w:val="clear" w:fill="FFFFFF"/>
          <w:lang w:val="en-US" w:eastAsia="zh-CN" w:bidi="ar"/>
        </w:rPr>
        <w:t>标的用途及</w:t>
      </w:r>
      <w:r>
        <w:rPr>
          <w:rFonts w:hint="eastAsia" w:ascii="仿宋" w:hAnsi="仿宋" w:eastAsia="仿宋" w:cs="仿宋"/>
          <w:color w:val="000000" w:themeColor="text1"/>
          <w:sz w:val="32"/>
          <w:szCs w:val="32"/>
          <w14:textFill>
            <w14:solidFill>
              <w14:schemeClr w14:val="tx1"/>
            </w14:solidFill>
          </w14:textFill>
        </w:rPr>
        <w:t>租赁期限</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textAlignment w:val="auto"/>
        <w:rPr>
          <w:rFonts w:hint="eastAsia" w:ascii="仿宋_GB2312" w:hAnsi="微软雅黑" w:eastAsia="仿宋_GB2312" w:cs="仿宋_GB2312"/>
          <w:i w:val="0"/>
          <w:iCs w:val="0"/>
          <w:caps w:val="0"/>
          <w:snapToGrid w:val="0"/>
          <w:color w:val="auto"/>
          <w:spacing w:val="9"/>
          <w:kern w:val="0"/>
          <w:sz w:val="32"/>
          <w:szCs w:val="32"/>
          <w:shd w:val="clear" w:fill="FFFFFF"/>
          <w:lang w:val="en-US" w:eastAsia="zh-CN" w:bidi="ar"/>
        </w:rPr>
      </w:pPr>
      <w:r>
        <w:rPr>
          <w:rFonts w:hint="eastAsia" w:ascii="仿宋" w:hAnsi="仿宋" w:eastAsia="仿宋" w:cs="仿宋"/>
          <w:color w:val="000000" w:themeColor="text1"/>
          <w:sz w:val="32"/>
          <w:szCs w:val="32"/>
          <w:lang w:val="en-US" w:eastAsia="zh-CN"/>
          <w14:textFill>
            <w14:solidFill>
              <w14:schemeClr w14:val="tx1"/>
            </w14:solidFill>
          </w14:textFill>
        </w:rPr>
        <w:t>1.标的用途：</w:t>
      </w:r>
      <w:r>
        <w:rPr>
          <w:rFonts w:hint="eastAsia" w:ascii="仿宋_GB2312" w:hAnsi="微软雅黑" w:eastAsia="仿宋_GB2312" w:cs="仿宋_GB2312"/>
          <w:i w:val="0"/>
          <w:iCs w:val="0"/>
          <w:caps w:val="0"/>
          <w:snapToGrid w:val="0"/>
          <w:color w:val="auto"/>
          <w:spacing w:val="9"/>
          <w:kern w:val="0"/>
          <w:sz w:val="32"/>
          <w:szCs w:val="32"/>
          <w:shd w:val="clear" w:fill="FFFFFF"/>
          <w:lang w:val="en-US" w:eastAsia="zh-CN" w:bidi="ar"/>
        </w:rPr>
        <w:t>商业用房可用于办公、百货超市、购物中心、医疗机构、专卖店、餐饮、仓储等合法合规项目经营；青羊横街15号-1层14个车位仅限用于停车使用。</w:t>
      </w:r>
    </w:p>
    <w:p>
      <w:pPr>
        <w:pStyle w:val="2"/>
        <w:ind w:firstLine="676" w:firstLineChars="200"/>
        <w:rPr>
          <w:rFonts w:hint="default"/>
          <w:lang w:val="en-US" w:eastAsia="zh-CN"/>
        </w:rPr>
      </w:pPr>
      <w:r>
        <w:rPr>
          <w:rFonts w:hint="eastAsia" w:ascii="仿宋_GB2312" w:hAnsi="微软雅黑" w:eastAsia="仿宋_GB2312" w:cs="仿宋_GB2312"/>
          <w:i w:val="0"/>
          <w:iCs w:val="0"/>
          <w:caps w:val="0"/>
          <w:snapToGrid w:val="0"/>
          <w:color w:val="auto"/>
          <w:spacing w:val="9"/>
          <w:kern w:val="0"/>
          <w:sz w:val="32"/>
          <w:szCs w:val="32"/>
          <w:shd w:val="clear" w:fill="FFFFFF"/>
          <w:lang w:val="en-US" w:eastAsia="zh-CN" w:bidi="ar"/>
        </w:rPr>
        <w:t>2.</w:t>
      </w:r>
      <w:r>
        <w:rPr>
          <w:rFonts w:hint="eastAsia" w:ascii="仿宋" w:hAnsi="仿宋" w:eastAsia="仿宋" w:cs="仿宋"/>
          <w:color w:val="000000" w:themeColor="text1"/>
          <w:sz w:val="32"/>
          <w:szCs w:val="32"/>
          <w14:textFill>
            <w14:solidFill>
              <w14:schemeClr w14:val="tx1"/>
            </w14:solidFill>
          </w14:textFill>
        </w:rPr>
        <w:t>租赁期限</w:t>
      </w:r>
      <w:r>
        <w:rPr>
          <w:rFonts w:hint="eastAsia" w:ascii="仿宋" w:hAnsi="仿宋" w:cs="仿宋"/>
          <w:color w:val="000000" w:themeColor="text1"/>
          <w:sz w:val="32"/>
          <w:szCs w:val="32"/>
          <w:lang w:eastAsia="zh-CN"/>
          <w14:textFill>
            <w14:solidFill>
              <w14:schemeClr w14:val="tx1"/>
            </w14:solidFill>
          </w14:textFill>
        </w:rPr>
        <w:t>：</w:t>
      </w:r>
      <w:r>
        <w:rPr>
          <w:rFonts w:hint="eastAsia" w:ascii="仿宋" w:hAnsi="仿宋" w:cs="仿宋"/>
          <w:color w:val="000000" w:themeColor="text1"/>
          <w:sz w:val="32"/>
          <w:szCs w:val="32"/>
          <w:lang w:val="en-US" w:eastAsia="zh-CN"/>
          <w14:textFill>
            <w14:solidFill>
              <w14:schemeClr w14:val="tx1"/>
            </w14:solidFill>
          </w14:textFill>
        </w:rPr>
        <w:t>3年。</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四、竞租方法、租金收取</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（一）竞租方法</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TW" w:eastAsia="zh-TW"/>
        </w:rPr>
        <w:t>1.年租金底价：</w:t>
      </w:r>
      <w:r>
        <w:rPr>
          <w:rFonts w:hint="eastAsia" w:ascii="仿宋_GB2312" w:hAnsi="仿宋_GB2312" w:eastAsia="仿宋_GB2312" w:cs="仿宋_GB2312"/>
          <w:sz w:val="32"/>
          <w:szCs w:val="32"/>
          <w:lang w:val="en-US" w:eastAsia="zh-CN"/>
        </w:rPr>
        <w:t>以都发中心评估价为准。</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2.竞价方式：</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(1)核验资料。现场核验所有竞租人提交的竞租资格文件（包含竞租人资质、竞租保证金缴纳凭证等），符合竞租人资格条件要求的竞租人可以参加后续报价和竞价阶段。</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(2)现场竞价。以评估价作为竞价起拍价，竞租人可以现场举牌竞价，出价金额应该不小于当前最高价，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每次报价增幅不得少于5000元。最</w:t>
      </w:r>
      <w:r>
        <w:rPr>
          <w:rFonts w:hint="eastAsia" w:ascii="仿宋_GB2312" w:hAnsi="仿宋_GB2312" w:eastAsia="仿宋_GB2312" w:cs="仿宋_GB2312"/>
          <w:sz w:val="32"/>
          <w:szCs w:val="32"/>
          <w:lang w:val="en-US" w:eastAsia="zh-CN"/>
        </w:rPr>
        <w:t>终竞价最高者为竞租中标人。</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（二）租金收取</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租金采取先付后用，一年一付的方式。</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五、保证金</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（一）竞租保证金</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1、收取。竞租人在报名竞租时，交纳竞租保证金。成都市青羊区青羊横街15号-1层14个车位及1层2间商业用房竞租保证金</w:t>
      </w:r>
      <w:r>
        <w:rPr>
          <w:rFonts w:hint="eastAsia" w:ascii="仿宋_GB2312" w:hAnsi="仿宋_GB2312" w:eastAsia="仿宋_GB2312" w:cs="仿宋_GB2312"/>
          <w:sz w:val="32"/>
          <w:szCs w:val="32"/>
          <w:highlight w:val="none"/>
          <w:lang w:val="en-US" w:eastAsia="zh-CN"/>
        </w:rPr>
        <w:t>为7800元；</w:t>
      </w:r>
      <w:r>
        <w:rPr>
          <w:rFonts w:hint="eastAsia" w:ascii="仿宋_GB2312" w:hAnsi="微软雅黑" w:eastAsia="仿宋_GB2312" w:cs="仿宋_GB2312"/>
          <w:i w:val="0"/>
          <w:iCs w:val="0"/>
          <w:caps w:val="0"/>
          <w:snapToGrid w:val="0"/>
          <w:color w:val="auto"/>
          <w:spacing w:val="9"/>
          <w:kern w:val="0"/>
          <w:sz w:val="32"/>
          <w:szCs w:val="32"/>
          <w:shd w:val="clear" w:fill="FFFFFF"/>
          <w:lang w:val="en-US" w:eastAsia="zh-CN" w:bidi="ar"/>
        </w:rPr>
        <w:t>青白江区政府北路186号、188号、190号、192号的1层和2层商业用房</w:t>
      </w:r>
      <w:r>
        <w:rPr>
          <w:rFonts w:hint="eastAsia" w:ascii="仿宋_GB2312" w:hAnsi="仿宋_GB2312" w:eastAsia="仿宋_GB2312" w:cs="仿宋_GB2312"/>
          <w:sz w:val="32"/>
          <w:szCs w:val="32"/>
          <w:lang w:val="en-US" w:eastAsia="zh-CN"/>
        </w:rPr>
        <w:t>竞租保证金</w:t>
      </w:r>
      <w:r>
        <w:rPr>
          <w:rFonts w:hint="eastAsia" w:ascii="仿宋_GB2312" w:hAnsi="仿宋_GB2312" w:eastAsia="仿宋_GB2312" w:cs="仿宋_GB2312"/>
          <w:sz w:val="32"/>
          <w:szCs w:val="32"/>
          <w:highlight w:val="none"/>
          <w:lang w:val="en-US" w:eastAsia="zh-CN"/>
        </w:rPr>
        <w:t>为4700元。</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退还。竞价中标人在竞租成功后的15个工作日内与都发中心签订租赁合同、履行相关手续。在签订正式合同时，合同履约保证金金额为租金的20%。若未在规定时间内与都发中心签订租赁合同，竞租保证金不予退还，并取消中标人资格。都发中心在15个工作日内将竞租保证金无息全额原路径退还给参与的竞租人。</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（二）合同履约保证金（租金的20%）</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1、收取。履约保证金需在首次缴纳租金时一并缴纳。</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2、退还。合同期届满时，承租人需向都发中心申请退还履约保证金，都发中心在15个工作日内可以将履约保证金无息全额退还承租方（需同时满足以下条件）：</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（1）《租赁合同书》终止或解除后，承租方按约退场并将使用点位清理干净；</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（2）承租方无《租赁合同书》约定的违约情形；</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（3）承租方已结清相关费用；</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（4）承租方与业主方确认双方租赁事宜已完结并签署权利义务终结确认书。</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六、竞租人资格条件要求</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竞租人为境内企业法人、具有独立承担民事责任能力的其他组织、个体工商户和具有完全民事行为能力的自然人。同时，具有良好的财务状况和支付能力、具有良好的商业信用。</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七、其他披露事项                                                                                                                                                                     </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竞租人参与本次竞价视为已完成对本次标的物的全面调查了解，已对标的物权利及物理现状等相关状况及瑕疵进行了充分了解并认可，并对竞租全面负责，自行承担包括但不限于因所获取的标的物信息不全面、产生误解等而产生的相应责任。</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2、竞租人中标后，需在3日内向都发中心提供承租标的物的用途说明，经都发中心认可后方可签订《租赁合同书》。</w:t>
      </w:r>
    </w:p>
    <w:p>
      <w:pPr>
        <w:keepNext w:val="0"/>
        <w:keepLines w:val="0"/>
        <w:pageBreakBefore w:val="0"/>
        <w:kinsoku/>
        <w:wordWrap/>
        <w:overflowPunct/>
        <w:topLinePunct w:val="0"/>
        <w:autoSpaceDE/>
        <w:autoSpaceDN/>
        <w:bidi w:val="0"/>
        <w:adjustRightInd/>
        <w:spacing w:line="520" w:lineRule="exact"/>
        <w:ind w:right="64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pacing w:line="520" w:lineRule="exact"/>
        <w:ind w:right="64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autoSpaceDE/>
        <w:autoSpaceDN/>
        <w:bidi w:val="0"/>
        <w:adjustRightInd/>
        <w:spacing w:line="540" w:lineRule="exact"/>
        <w:ind w:right="640" w:firstLine="3520" w:firstLineChars="1100"/>
        <w:jc w:val="righ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四川省都江堰水利发展中心</w:t>
      </w:r>
    </w:p>
    <w:p>
      <w:pPr>
        <w:keepNext w:val="0"/>
        <w:keepLines w:val="0"/>
        <w:pageBreakBefore w:val="0"/>
        <w:kinsoku/>
        <w:overflowPunct/>
        <w:topLinePunct w:val="0"/>
        <w:autoSpaceDE/>
        <w:autoSpaceDN/>
        <w:bidi w:val="0"/>
        <w:adjustRightInd/>
        <w:spacing w:line="540" w:lineRule="exact"/>
        <w:ind w:right="640" w:firstLine="3520" w:firstLineChars="1100"/>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2023年5月24日</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OWQ1N2Y5MmM0MjAyMTdiMmQ3MmVlMGFlM2MxOTgifQ=="/>
  </w:docVars>
  <w:rsids>
    <w:rsidRoot w:val="00000000"/>
    <w:rsid w:val="024907BD"/>
    <w:rsid w:val="026906BD"/>
    <w:rsid w:val="02816CCE"/>
    <w:rsid w:val="02D45050"/>
    <w:rsid w:val="02FE38AF"/>
    <w:rsid w:val="0348159A"/>
    <w:rsid w:val="03D177E1"/>
    <w:rsid w:val="041A2F36"/>
    <w:rsid w:val="05FF31D4"/>
    <w:rsid w:val="060B6889"/>
    <w:rsid w:val="069F1FBB"/>
    <w:rsid w:val="06F2533E"/>
    <w:rsid w:val="06FA3822"/>
    <w:rsid w:val="0A2D14EA"/>
    <w:rsid w:val="0AD211C7"/>
    <w:rsid w:val="0B385378"/>
    <w:rsid w:val="0BCF23D8"/>
    <w:rsid w:val="0C8E4494"/>
    <w:rsid w:val="0C9E3391"/>
    <w:rsid w:val="0CA710DF"/>
    <w:rsid w:val="0DBF07F5"/>
    <w:rsid w:val="0EED3DC3"/>
    <w:rsid w:val="0F1862C4"/>
    <w:rsid w:val="0FC41113"/>
    <w:rsid w:val="10066A76"/>
    <w:rsid w:val="110C1E59"/>
    <w:rsid w:val="115C7F5D"/>
    <w:rsid w:val="116C67E6"/>
    <w:rsid w:val="11934495"/>
    <w:rsid w:val="11FA6155"/>
    <w:rsid w:val="120B5B8E"/>
    <w:rsid w:val="1216361C"/>
    <w:rsid w:val="127759F8"/>
    <w:rsid w:val="129E12BF"/>
    <w:rsid w:val="12BC13F9"/>
    <w:rsid w:val="12E070F9"/>
    <w:rsid w:val="13F54288"/>
    <w:rsid w:val="147E306D"/>
    <w:rsid w:val="15145780"/>
    <w:rsid w:val="15A436D6"/>
    <w:rsid w:val="15AC3C0A"/>
    <w:rsid w:val="16B244DB"/>
    <w:rsid w:val="172B401D"/>
    <w:rsid w:val="18A70A90"/>
    <w:rsid w:val="1BE84436"/>
    <w:rsid w:val="1CE1063D"/>
    <w:rsid w:val="1D9456B0"/>
    <w:rsid w:val="1E4F4AFD"/>
    <w:rsid w:val="1F0E1D26"/>
    <w:rsid w:val="1FED26C3"/>
    <w:rsid w:val="2010022D"/>
    <w:rsid w:val="204340DF"/>
    <w:rsid w:val="20592BE1"/>
    <w:rsid w:val="20B678CD"/>
    <w:rsid w:val="20BB11A5"/>
    <w:rsid w:val="20DF30E6"/>
    <w:rsid w:val="22121299"/>
    <w:rsid w:val="227A4A56"/>
    <w:rsid w:val="239E0EFF"/>
    <w:rsid w:val="23A6188A"/>
    <w:rsid w:val="24920136"/>
    <w:rsid w:val="25AE5FF7"/>
    <w:rsid w:val="261C161C"/>
    <w:rsid w:val="26467763"/>
    <w:rsid w:val="267C2FA8"/>
    <w:rsid w:val="26D328C8"/>
    <w:rsid w:val="28230DCD"/>
    <w:rsid w:val="28594DB8"/>
    <w:rsid w:val="286E1525"/>
    <w:rsid w:val="28885E11"/>
    <w:rsid w:val="288E3259"/>
    <w:rsid w:val="296A3A82"/>
    <w:rsid w:val="2A5A1A2F"/>
    <w:rsid w:val="2A802CF0"/>
    <w:rsid w:val="2B7E174D"/>
    <w:rsid w:val="2CDF446E"/>
    <w:rsid w:val="2D320A41"/>
    <w:rsid w:val="2DAE02DC"/>
    <w:rsid w:val="2E28613C"/>
    <w:rsid w:val="2E417484"/>
    <w:rsid w:val="2E905A1F"/>
    <w:rsid w:val="2EA4771D"/>
    <w:rsid w:val="2F436F36"/>
    <w:rsid w:val="30E122FD"/>
    <w:rsid w:val="31A11811"/>
    <w:rsid w:val="31B9528D"/>
    <w:rsid w:val="31D85FEC"/>
    <w:rsid w:val="32221084"/>
    <w:rsid w:val="32554C79"/>
    <w:rsid w:val="32C655A6"/>
    <w:rsid w:val="34623B35"/>
    <w:rsid w:val="350607E9"/>
    <w:rsid w:val="35FB40C6"/>
    <w:rsid w:val="370D7F5D"/>
    <w:rsid w:val="37453EE7"/>
    <w:rsid w:val="374A68A5"/>
    <w:rsid w:val="388F6D48"/>
    <w:rsid w:val="38AF1198"/>
    <w:rsid w:val="39DB45E9"/>
    <w:rsid w:val="3A2F2A82"/>
    <w:rsid w:val="3BD5274A"/>
    <w:rsid w:val="3BED44B1"/>
    <w:rsid w:val="3CA07775"/>
    <w:rsid w:val="3D6537DC"/>
    <w:rsid w:val="3DA36040"/>
    <w:rsid w:val="3DC94AAA"/>
    <w:rsid w:val="3E021E25"/>
    <w:rsid w:val="3E3D69F8"/>
    <w:rsid w:val="3E7A5DA4"/>
    <w:rsid w:val="3EC20D16"/>
    <w:rsid w:val="3F82276A"/>
    <w:rsid w:val="3FBF405F"/>
    <w:rsid w:val="3FC0461E"/>
    <w:rsid w:val="3FC7326B"/>
    <w:rsid w:val="40262213"/>
    <w:rsid w:val="40662A84"/>
    <w:rsid w:val="408C795E"/>
    <w:rsid w:val="40A23390"/>
    <w:rsid w:val="41C50C60"/>
    <w:rsid w:val="42497F67"/>
    <w:rsid w:val="42A15FF5"/>
    <w:rsid w:val="43317379"/>
    <w:rsid w:val="433A3D54"/>
    <w:rsid w:val="43413334"/>
    <w:rsid w:val="43947908"/>
    <w:rsid w:val="43C84F50"/>
    <w:rsid w:val="44372B02"/>
    <w:rsid w:val="443A1503"/>
    <w:rsid w:val="48533116"/>
    <w:rsid w:val="4B13706F"/>
    <w:rsid w:val="4B6422B6"/>
    <w:rsid w:val="4C260B5B"/>
    <w:rsid w:val="4C6216A8"/>
    <w:rsid w:val="4DB94989"/>
    <w:rsid w:val="4F653FB6"/>
    <w:rsid w:val="4F681F37"/>
    <w:rsid w:val="4FC50A01"/>
    <w:rsid w:val="4FED287A"/>
    <w:rsid w:val="501C4F0D"/>
    <w:rsid w:val="5055260B"/>
    <w:rsid w:val="512117A7"/>
    <w:rsid w:val="515F6D42"/>
    <w:rsid w:val="51886EFD"/>
    <w:rsid w:val="52961753"/>
    <w:rsid w:val="543C5B7E"/>
    <w:rsid w:val="546A3F1E"/>
    <w:rsid w:val="54A6749B"/>
    <w:rsid w:val="55C0458D"/>
    <w:rsid w:val="56A812A9"/>
    <w:rsid w:val="56DE116E"/>
    <w:rsid w:val="586B689E"/>
    <w:rsid w:val="59162E41"/>
    <w:rsid w:val="5A054AAB"/>
    <w:rsid w:val="5A84612E"/>
    <w:rsid w:val="5ABD3B5F"/>
    <w:rsid w:val="5B053294"/>
    <w:rsid w:val="5DEE7A70"/>
    <w:rsid w:val="5F320029"/>
    <w:rsid w:val="618E3FCB"/>
    <w:rsid w:val="62555D74"/>
    <w:rsid w:val="64CC6AAA"/>
    <w:rsid w:val="66252916"/>
    <w:rsid w:val="673646AF"/>
    <w:rsid w:val="674A3391"/>
    <w:rsid w:val="67BA708E"/>
    <w:rsid w:val="68682EB7"/>
    <w:rsid w:val="69701294"/>
    <w:rsid w:val="697A1C60"/>
    <w:rsid w:val="6A3C43DE"/>
    <w:rsid w:val="6AA42B47"/>
    <w:rsid w:val="6AE21FF0"/>
    <w:rsid w:val="6B120F8F"/>
    <w:rsid w:val="6BB776E5"/>
    <w:rsid w:val="6D806684"/>
    <w:rsid w:val="6DD537BC"/>
    <w:rsid w:val="6E22598D"/>
    <w:rsid w:val="6E4C7188"/>
    <w:rsid w:val="6E612FCD"/>
    <w:rsid w:val="6F147A42"/>
    <w:rsid w:val="6F5B2146"/>
    <w:rsid w:val="6FD26F3F"/>
    <w:rsid w:val="70475A21"/>
    <w:rsid w:val="707D50FC"/>
    <w:rsid w:val="738C314C"/>
    <w:rsid w:val="750F68C4"/>
    <w:rsid w:val="75C005F6"/>
    <w:rsid w:val="75D84A09"/>
    <w:rsid w:val="775F37AE"/>
    <w:rsid w:val="78E0775F"/>
    <w:rsid w:val="79EB757B"/>
    <w:rsid w:val="7A100D8F"/>
    <w:rsid w:val="7B580C40"/>
    <w:rsid w:val="7B7934A2"/>
    <w:rsid w:val="7BAC3148"/>
    <w:rsid w:val="7BCF6EFA"/>
    <w:rsid w:val="7C142DB9"/>
    <w:rsid w:val="7D782899"/>
    <w:rsid w:val="7E1C0301"/>
    <w:rsid w:val="7E2748F9"/>
    <w:rsid w:val="7E535F34"/>
    <w:rsid w:val="7F960B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1320</Words>
  <Characters>1379</Characters>
  <Lines>0</Lines>
  <Paragraphs>0</Paragraphs>
  <TotalTime>0</TotalTime>
  <ScaleCrop>false</ScaleCrop>
  <LinksUpToDate>false</LinksUpToDate>
  <CharactersWithSpaces>1545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2022-05-19T11:35:00Z</dcterms:created>
  <dc:creator>凭海临风</dc:creator>
  <cp:lastModifiedBy>李金媛</cp:lastModifiedBy>
  <cp:lastPrinted>2022-07-04T03:01:00Z</cp:lastPrinted>
  <dcterms:modified xsi:type="dcterms:W3CDTF">2023-05-24T08:36:19Z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E9DB4777C6044F05BBD02080298EBEB3_13</vt:lpwstr>
  </property>
</Properties>
</file>