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480" w:lineRule="exact"/>
        <w:ind w:firstLine="643" w:firstLineChars="200"/>
        <w:jc w:val="center"/>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采购需求</w:t>
      </w:r>
      <w:bookmarkStart w:id="2" w:name="_GoBack"/>
      <w:bookmarkEnd w:id="2"/>
    </w:p>
    <w:p>
      <w:pPr>
        <w:rPr>
          <w:rFonts w:hint="eastAsia"/>
          <w:lang w:eastAsia="zh-CN"/>
        </w:rPr>
      </w:pPr>
    </w:p>
    <w:p>
      <w:pPr>
        <w:pStyle w:val="3"/>
        <w:spacing w:before="0" w:after="0" w:line="480" w:lineRule="exact"/>
        <w:ind w:firstLine="643" w:firstLineChars="200"/>
        <w:jc w:val="left"/>
        <w:rPr>
          <w:rFonts w:ascii="宋体" w:hAnsi="宋体" w:cs="宋体"/>
          <w:b w:val="0"/>
          <w:color w:val="auto"/>
          <w:sz w:val="32"/>
          <w:szCs w:val="32"/>
          <w:highlight w:val="none"/>
        </w:rPr>
      </w:pPr>
      <w:r>
        <w:rPr>
          <w:rFonts w:hint="eastAsia" w:ascii="宋体" w:hAnsi="宋体" w:cs="宋体"/>
          <w:color w:val="auto"/>
          <w:sz w:val="32"/>
          <w:szCs w:val="32"/>
          <w:highlight w:val="none"/>
        </w:rPr>
        <w:t>采购项目技术、服务及商务要求</w:t>
      </w:r>
    </w:p>
    <w:p>
      <w:pPr>
        <w:snapToGrid w:val="0"/>
        <w:spacing w:line="360" w:lineRule="auto"/>
        <w:ind w:firstLine="558" w:firstLineChars="200"/>
        <w:textAlignment w:val="baseline"/>
        <w:rPr>
          <w:rFonts w:ascii="宋体" w:hAnsi="宋体" w:cs="仿宋"/>
          <w:b/>
          <w:bCs/>
          <w:color w:val="auto"/>
          <w:spacing w:val="-1"/>
          <w:sz w:val="28"/>
          <w:szCs w:val="28"/>
          <w:highlight w:val="none"/>
        </w:rPr>
      </w:pPr>
      <w:bookmarkStart w:id="0" w:name="_Toc29842"/>
      <w:bookmarkStart w:id="1" w:name="_Toc20439"/>
    </w:p>
    <w:bookmarkEnd w:id="0"/>
    <w:bookmarkEnd w:id="1"/>
    <w:p>
      <w:pPr>
        <w:pStyle w:val="2"/>
        <w:snapToGrid w:val="0"/>
        <w:spacing w:line="360" w:lineRule="auto"/>
        <w:ind w:firstLine="498" w:firstLineChars="177"/>
        <w:rPr>
          <w:rFonts w:ascii="宋体" w:hAnsi="宋体" w:cs="仿宋"/>
          <w:b/>
          <w:bCs/>
          <w:color w:val="auto"/>
          <w:kern w:val="0"/>
          <w:sz w:val="28"/>
          <w:szCs w:val="28"/>
          <w:highlight w:val="none"/>
          <w:lang w:bidi="ar"/>
        </w:rPr>
      </w:pPr>
      <w:r>
        <w:rPr>
          <w:rFonts w:hint="eastAsia" w:ascii="宋体" w:hAnsi="宋体" w:cs="仿宋"/>
          <w:b/>
          <w:bCs/>
          <w:color w:val="auto"/>
          <w:kern w:val="0"/>
          <w:sz w:val="28"/>
          <w:szCs w:val="28"/>
          <w:highlight w:val="none"/>
          <w:lang w:bidi="ar"/>
        </w:rPr>
        <w:t>一、项目概述</w:t>
      </w:r>
    </w:p>
    <w:p>
      <w:pPr>
        <w:pStyle w:val="2"/>
        <w:snapToGrid w:val="0"/>
        <w:spacing w:line="360" w:lineRule="auto"/>
        <w:ind w:firstLine="495" w:firstLineChars="177"/>
        <w:rPr>
          <w:rFonts w:ascii="宋体" w:hAnsi="宋体" w:cs="仿宋"/>
          <w:color w:val="auto"/>
          <w:kern w:val="0"/>
          <w:sz w:val="28"/>
          <w:szCs w:val="28"/>
          <w:highlight w:val="none"/>
          <w:lang w:bidi="ar"/>
        </w:rPr>
      </w:pPr>
      <w:r>
        <w:rPr>
          <w:rFonts w:hint="eastAsia" w:ascii="宋体" w:hAnsi="宋体" w:cs="仿宋"/>
          <w:color w:val="auto"/>
          <w:sz w:val="28"/>
          <w:szCs w:val="28"/>
          <w:highlight w:val="none"/>
        </w:rPr>
        <w:t>建设规模及内容：完成外江管理处渠系电站运维</w:t>
      </w:r>
      <w:r>
        <w:rPr>
          <w:rFonts w:hint="eastAsia" w:ascii="宋体" w:hAnsi="宋体" w:cs="仿宋"/>
          <w:color w:val="auto"/>
          <w:sz w:val="28"/>
          <w:szCs w:val="28"/>
          <w:highlight w:val="none"/>
          <w:lang w:val="en-US" w:eastAsia="zh-CN"/>
        </w:rPr>
        <w:t>能力提升</w:t>
      </w:r>
      <w:r>
        <w:rPr>
          <w:rFonts w:hint="eastAsia" w:ascii="宋体" w:hAnsi="宋体" w:cs="仿宋"/>
          <w:color w:val="auto"/>
          <w:sz w:val="28"/>
          <w:szCs w:val="28"/>
          <w:highlight w:val="none"/>
        </w:rPr>
        <w:t>整体设计，包括运维中心显示系统、中心计算机网络、硬件部分及辅助功能设施设计。</w:t>
      </w:r>
    </w:p>
    <w:p>
      <w:pPr>
        <w:pStyle w:val="6"/>
        <w:adjustRightInd w:val="0"/>
        <w:spacing w:line="360" w:lineRule="auto"/>
        <w:ind w:firstLine="632" w:firstLineChars="225"/>
        <w:rPr>
          <w:rFonts w:ascii="宋体" w:hAnsi="宋体" w:cs="仿宋"/>
          <w:b/>
          <w:bCs/>
          <w:color w:val="auto"/>
          <w:sz w:val="28"/>
          <w:szCs w:val="28"/>
          <w:highlight w:val="none"/>
        </w:rPr>
      </w:pPr>
      <w:r>
        <w:rPr>
          <w:rFonts w:hint="eastAsia" w:ascii="宋体" w:hAnsi="宋体" w:cs="仿宋"/>
          <w:b/>
          <w:bCs/>
          <w:color w:val="auto"/>
          <w:sz w:val="28"/>
          <w:szCs w:val="28"/>
          <w:highlight w:val="none"/>
        </w:rPr>
        <w:t>二、标的名称及所属行业</w:t>
      </w:r>
    </w:p>
    <w:p>
      <w:pPr>
        <w:pStyle w:val="2"/>
        <w:snapToGrid w:val="0"/>
        <w:spacing w:line="360" w:lineRule="auto"/>
        <w:ind w:firstLine="495" w:firstLineChars="177"/>
        <w:rPr>
          <w:rFonts w:ascii="宋体" w:hAnsi="宋体" w:cs="仿宋"/>
          <w:color w:val="auto"/>
          <w:kern w:val="0"/>
          <w:sz w:val="28"/>
          <w:szCs w:val="28"/>
          <w:highlight w:val="none"/>
          <w:lang w:bidi="ar"/>
        </w:rPr>
      </w:pPr>
      <w:r>
        <w:rPr>
          <w:rFonts w:hint="eastAsia" w:ascii="宋体" w:hAnsi="宋体" w:cs="仿宋"/>
          <w:color w:val="auto"/>
          <w:kern w:val="0"/>
          <w:sz w:val="28"/>
          <w:szCs w:val="28"/>
          <w:highlight w:val="none"/>
          <w:lang w:bidi="ar"/>
        </w:rPr>
        <w:t>标的名称：</w:t>
      </w:r>
      <w:r>
        <w:rPr>
          <w:rFonts w:hint="eastAsia" w:ascii="宋体" w:hAnsi="宋体"/>
          <w:color w:val="auto"/>
          <w:sz w:val="28"/>
          <w:szCs w:val="28"/>
          <w:highlight w:val="none"/>
          <w:u w:val="single"/>
          <w:lang w:eastAsia="zh-CN"/>
        </w:rPr>
        <w:t>四川省都江堰水利发展中心智能化电站运行维护能力提升项目设计、工程量清单及招标控制价服务采购</w:t>
      </w:r>
      <w:r>
        <w:rPr>
          <w:rFonts w:hint="eastAsia" w:ascii="宋体" w:hAnsi="宋体" w:cs="仿宋"/>
          <w:color w:val="auto"/>
          <w:kern w:val="0"/>
          <w:sz w:val="28"/>
          <w:szCs w:val="28"/>
          <w:highlight w:val="none"/>
          <w:lang w:bidi="ar"/>
        </w:rPr>
        <w:t>；</w:t>
      </w:r>
    </w:p>
    <w:p>
      <w:pPr>
        <w:pStyle w:val="2"/>
        <w:snapToGrid w:val="0"/>
        <w:spacing w:line="360" w:lineRule="auto"/>
        <w:ind w:firstLine="495" w:firstLineChars="177"/>
        <w:rPr>
          <w:rFonts w:ascii="宋体" w:hAnsi="宋体" w:cs="仿宋"/>
          <w:color w:val="auto"/>
          <w:kern w:val="0"/>
          <w:sz w:val="28"/>
          <w:szCs w:val="28"/>
          <w:highlight w:val="none"/>
          <w:lang w:bidi="ar"/>
        </w:rPr>
      </w:pPr>
      <w:r>
        <w:rPr>
          <w:rFonts w:hint="eastAsia" w:ascii="宋体" w:hAnsi="宋体" w:cs="仿宋"/>
          <w:color w:val="auto"/>
          <w:kern w:val="0"/>
          <w:sz w:val="28"/>
          <w:szCs w:val="28"/>
          <w:highlight w:val="none"/>
          <w:lang w:bidi="ar"/>
        </w:rPr>
        <w:t>所属行业：其他未列明行业。</w:t>
      </w:r>
    </w:p>
    <w:p>
      <w:pPr>
        <w:pStyle w:val="2"/>
        <w:snapToGrid w:val="0"/>
        <w:spacing w:line="360" w:lineRule="auto"/>
        <w:ind w:firstLine="562" w:firstLineChars="200"/>
        <w:rPr>
          <w:rFonts w:ascii="宋体" w:hAnsi="宋体" w:cs="仿宋"/>
          <w:b/>
          <w:bCs/>
          <w:color w:val="auto"/>
          <w:sz w:val="28"/>
          <w:szCs w:val="28"/>
          <w:highlight w:val="none"/>
        </w:rPr>
      </w:pPr>
      <w:r>
        <w:rPr>
          <w:rFonts w:hint="eastAsia" w:ascii="宋体" w:hAnsi="宋体" w:cs="仿宋"/>
          <w:b/>
          <w:bCs/>
          <w:color w:val="auto"/>
          <w:sz w:val="28"/>
          <w:szCs w:val="28"/>
          <w:highlight w:val="none"/>
        </w:rPr>
        <w:t>三、项目服务要求</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（一）服务目标</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在规定时间内按照国家（行业）相关规范</w:t>
      </w:r>
      <w:r>
        <w:rPr>
          <w:rFonts w:hint="eastAsia" w:ascii="宋体" w:hAnsi="宋体"/>
          <w:color w:val="auto"/>
          <w:sz w:val="28"/>
          <w:szCs w:val="28"/>
          <w:highlight w:val="none"/>
        </w:rPr>
        <w:t>、标准完成四川省都江堰水利发展中心智能化电站运行维护能力提升项目设计</w:t>
      </w:r>
      <w:r>
        <w:rPr>
          <w:rFonts w:hint="eastAsia" w:ascii="宋体" w:hAnsi="宋体" w:cs="仿宋"/>
          <w:color w:val="auto"/>
          <w:sz w:val="28"/>
          <w:szCs w:val="28"/>
          <w:highlight w:val="none"/>
        </w:rPr>
        <w:t>工作及相关图纸等，设计报告通过专家审查并取得专家审查意见，并配合施工过程中的技术服务。</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（二）服务内容及要求</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1、服务内容</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1.1根据采购人和建设项目的要求，提供实施方案设计、施工图设计</w:t>
      </w:r>
      <w:r>
        <w:rPr>
          <w:rFonts w:hint="eastAsia" w:ascii="宋体" w:hAnsi="宋体" w:cs="仿宋"/>
          <w:color w:val="auto"/>
          <w:sz w:val="28"/>
          <w:szCs w:val="28"/>
          <w:highlight w:val="none"/>
          <w:lang w:val="en-US" w:eastAsia="zh-CN"/>
        </w:rPr>
        <w:t>、</w:t>
      </w:r>
      <w:r>
        <w:rPr>
          <w:rFonts w:hint="eastAsia" w:ascii="宋体" w:hAnsi="宋体" w:cs="仿宋"/>
          <w:color w:val="auto"/>
          <w:sz w:val="28"/>
          <w:szCs w:val="28"/>
          <w:highlight w:val="none"/>
        </w:rPr>
        <w:t>设计概算</w:t>
      </w:r>
      <w:r>
        <w:rPr>
          <w:rFonts w:hint="eastAsia" w:ascii="宋体" w:hAnsi="宋体" w:cs="仿宋"/>
          <w:color w:val="auto"/>
          <w:sz w:val="28"/>
          <w:szCs w:val="28"/>
          <w:highlight w:val="none"/>
          <w:lang w:eastAsia="zh-CN"/>
        </w:rPr>
        <w:t>、招标控制价清单编制</w:t>
      </w:r>
      <w:r>
        <w:rPr>
          <w:rFonts w:hint="eastAsia" w:ascii="宋体" w:hAnsi="宋体" w:cs="仿宋"/>
          <w:color w:val="auto"/>
          <w:sz w:val="28"/>
          <w:szCs w:val="28"/>
          <w:highlight w:val="none"/>
        </w:rPr>
        <w:t>、</w:t>
      </w:r>
      <w:r>
        <w:rPr>
          <w:rFonts w:hint="eastAsia" w:ascii="宋体" w:hAnsi="宋体" w:cs="仿宋"/>
          <w:color w:val="auto"/>
          <w:sz w:val="28"/>
          <w:szCs w:val="28"/>
          <w:highlight w:val="none"/>
          <w:lang w:val="en-US" w:eastAsia="zh-CN"/>
        </w:rPr>
        <w:t>竣工图编制工作</w:t>
      </w:r>
      <w:r>
        <w:rPr>
          <w:rFonts w:hint="eastAsia" w:ascii="宋体" w:hAnsi="宋体" w:cs="仿宋"/>
          <w:color w:val="auto"/>
          <w:sz w:val="28"/>
          <w:szCs w:val="28"/>
          <w:highlight w:val="none"/>
        </w:rPr>
        <w:t>及后续服务</w:t>
      </w:r>
      <w:r>
        <w:rPr>
          <w:rFonts w:hint="eastAsia" w:ascii="宋体" w:hAnsi="宋体" w:cs="仿宋"/>
          <w:color w:val="auto"/>
          <w:sz w:val="28"/>
          <w:szCs w:val="28"/>
          <w:highlight w:val="none"/>
          <w:lang w:eastAsia="zh-CN"/>
        </w:rPr>
        <w:t>工作</w:t>
      </w:r>
      <w:r>
        <w:rPr>
          <w:rFonts w:hint="eastAsia" w:ascii="宋体" w:hAnsi="宋体" w:cs="仿宋"/>
          <w:color w:val="auto"/>
          <w:sz w:val="28"/>
          <w:szCs w:val="28"/>
          <w:highlight w:val="none"/>
        </w:rPr>
        <w:t>。</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1.2供应商应当组织本单位具备相应专业的技术人员成立项目组负责本项目工作。</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1.3服务阶段分为实施方案设计阶段、技施设计阶段设计工作。</w:t>
      </w:r>
    </w:p>
    <w:p>
      <w:pPr>
        <w:pStyle w:val="2"/>
        <w:snapToGrid w:val="0"/>
        <w:spacing w:line="360" w:lineRule="auto"/>
        <w:ind w:firstLine="495" w:firstLineChars="177"/>
        <w:rPr>
          <w:rFonts w:ascii="宋体" w:hAnsi="宋体"/>
          <w:color w:val="auto"/>
          <w:sz w:val="28"/>
          <w:szCs w:val="28"/>
          <w:highlight w:val="none"/>
        </w:rPr>
      </w:pPr>
      <w:r>
        <w:rPr>
          <w:rFonts w:hint="eastAsia" w:ascii="宋体" w:hAnsi="宋体"/>
          <w:color w:val="auto"/>
          <w:sz w:val="28"/>
          <w:szCs w:val="28"/>
          <w:highlight w:val="none"/>
        </w:rPr>
        <w:t>2、服务要求</w:t>
      </w:r>
    </w:p>
    <w:p>
      <w:pPr>
        <w:pStyle w:val="2"/>
        <w:snapToGrid w:val="0"/>
        <w:spacing w:line="360" w:lineRule="auto"/>
        <w:ind w:firstLine="495" w:firstLineChars="177"/>
        <w:rPr>
          <w:rFonts w:ascii="宋体" w:hAnsi="宋体"/>
          <w:color w:val="auto"/>
          <w:sz w:val="28"/>
          <w:szCs w:val="28"/>
          <w:highlight w:val="none"/>
        </w:rPr>
      </w:pPr>
      <w:r>
        <w:rPr>
          <w:rFonts w:hint="eastAsia" w:ascii="宋体" w:hAnsi="宋体"/>
          <w:color w:val="auto"/>
          <w:sz w:val="28"/>
          <w:szCs w:val="28"/>
          <w:highlight w:val="none"/>
        </w:rPr>
        <w:t>2.1提供四川省都江堰水利发展中心智能化电站运行维护能力提升项目实施方案设计、施工图设计、设计概算</w:t>
      </w:r>
      <w:r>
        <w:rPr>
          <w:rFonts w:hint="eastAsia" w:ascii="宋体" w:hAnsi="宋体"/>
          <w:color w:val="auto"/>
          <w:sz w:val="28"/>
          <w:szCs w:val="28"/>
          <w:highlight w:val="none"/>
          <w:lang w:eastAsia="zh-CN"/>
        </w:rPr>
        <w:t>、</w:t>
      </w:r>
      <w:r>
        <w:rPr>
          <w:rFonts w:hint="eastAsia" w:ascii="宋体" w:hAnsi="宋体" w:cs="仿宋"/>
          <w:color w:val="auto"/>
          <w:sz w:val="28"/>
          <w:szCs w:val="28"/>
          <w:highlight w:val="none"/>
          <w:lang w:eastAsia="zh-CN"/>
        </w:rPr>
        <w:t>招标控制价清单</w:t>
      </w:r>
      <w:r>
        <w:rPr>
          <w:rFonts w:hint="eastAsia" w:ascii="宋体" w:hAnsi="宋体"/>
          <w:color w:val="auto"/>
          <w:sz w:val="28"/>
          <w:szCs w:val="28"/>
          <w:highlight w:val="none"/>
        </w:rPr>
        <w:t>等资料。</w:t>
      </w:r>
    </w:p>
    <w:p>
      <w:pPr>
        <w:pStyle w:val="2"/>
        <w:snapToGrid w:val="0"/>
        <w:spacing w:line="360" w:lineRule="auto"/>
        <w:ind w:firstLine="495" w:firstLineChars="177"/>
        <w:rPr>
          <w:rFonts w:ascii="宋体" w:hAnsi="宋体"/>
          <w:color w:val="auto"/>
          <w:sz w:val="28"/>
          <w:szCs w:val="28"/>
          <w:highlight w:val="none"/>
        </w:rPr>
      </w:pPr>
      <w:r>
        <w:rPr>
          <w:rFonts w:hint="eastAsia" w:ascii="宋体" w:hAnsi="宋体"/>
          <w:color w:val="auto"/>
          <w:sz w:val="28"/>
          <w:szCs w:val="28"/>
          <w:highlight w:val="none"/>
        </w:rPr>
        <w:t>2.2合同签订生效后，乙方按现行规程规范的要求开展工作，10个工作日内完成项目实施方案，通过专家技术审查取得审查意见。</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2.3项目成果最终归采购人所有。</w:t>
      </w:r>
    </w:p>
    <w:p>
      <w:pPr>
        <w:pStyle w:val="2"/>
        <w:snapToGrid w:val="0"/>
        <w:spacing w:line="360" w:lineRule="auto"/>
        <w:ind w:firstLine="495" w:firstLineChars="177"/>
        <w:rPr>
          <w:rFonts w:ascii="宋体" w:hAnsi="宋体" w:cs="仿宋"/>
          <w:color w:val="auto"/>
          <w:sz w:val="28"/>
          <w:szCs w:val="28"/>
          <w:highlight w:val="none"/>
          <w:lang w:val="zh-TW"/>
        </w:rPr>
      </w:pPr>
      <w:r>
        <w:rPr>
          <w:rFonts w:hint="eastAsia" w:ascii="宋体" w:hAnsi="宋体" w:cs="仿宋"/>
          <w:color w:val="auto"/>
          <w:sz w:val="28"/>
          <w:szCs w:val="28"/>
          <w:highlight w:val="none"/>
        </w:rPr>
        <w:t>3、服务成果文件</w:t>
      </w:r>
    </w:p>
    <w:p>
      <w:pPr>
        <w:pStyle w:val="2"/>
        <w:snapToGrid w:val="0"/>
        <w:spacing w:line="360" w:lineRule="auto"/>
        <w:ind w:firstLine="495" w:firstLineChars="177"/>
        <w:rPr>
          <w:rFonts w:hint="eastAsia" w:asciiTheme="minorEastAsia" w:hAnsiTheme="minorEastAsia" w:eastAsiaTheme="minorEastAsia" w:cstheme="minorEastAsia"/>
          <w:color w:val="auto"/>
          <w:sz w:val="28"/>
          <w:szCs w:val="28"/>
          <w:highlight w:val="none"/>
        </w:rPr>
      </w:pPr>
      <w:r>
        <w:rPr>
          <w:rFonts w:hint="eastAsia" w:ascii="宋体" w:hAnsi="宋体" w:cs="仿宋"/>
          <w:color w:val="auto"/>
          <w:sz w:val="28"/>
          <w:szCs w:val="28"/>
          <w:highlight w:val="none"/>
        </w:rPr>
        <w:t>成交供应商应向采购人提供通过审查的实施方案设计资料</w:t>
      </w:r>
      <w:r>
        <w:rPr>
          <w:rFonts w:hint="eastAsia" w:ascii="宋体" w:hAnsi="宋体" w:cs="仿宋"/>
          <w:color w:val="auto"/>
          <w:sz w:val="28"/>
          <w:szCs w:val="28"/>
          <w:highlight w:val="none"/>
          <w:lang w:eastAsia="zh-CN"/>
        </w:rPr>
        <w:t>纸质版</w:t>
      </w:r>
      <w:r>
        <w:rPr>
          <w:rFonts w:hint="eastAsia" w:ascii="宋体" w:hAnsi="宋体" w:cs="仿宋"/>
          <w:color w:val="auto"/>
          <w:sz w:val="28"/>
          <w:szCs w:val="28"/>
          <w:highlight w:val="none"/>
        </w:rPr>
        <w:t>6套</w:t>
      </w:r>
      <w:r>
        <w:rPr>
          <w:rFonts w:hint="eastAsia" w:ascii="宋体" w:hAnsi="宋体" w:cs="仿宋"/>
          <w:color w:val="auto"/>
          <w:sz w:val="28"/>
          <w:szCs w:val="28"/>
          <w:highlight w:val="none"/>
          <w:lang w:eastAsia="zh-CN"/>
        </w:rPr>
        <w:t>、电子版本</w:t>
      </w:r>
      <w:r>
        <w:rPr>
          <w:rFonts w:hint="eastAsia" w:ascii="宋体" w:hAnsi="宋体" w:cs="仿宋"/>
          <w:color w:val="auto"/>
          <w:sz w:val="28"/>
          <w:szCs w:val="28"/>
          <w:highlight w:val="none"/>
          <w:lang w:val="en-US" w:eastAsia="zh-CN"/>
        </w:rPr>
        <w:t>1份；</w:t>
      </w:r>
      <w:r>
        <w:rPr>
          <w:rFonts w:hint="eastAsia" w:ascii="宋体" w:hAnsi="宋体" w:cs="仿宋"/>
          <w:color w:val="auto"/>
          <w:sz w:val="28"/>
          <w:szCs w:val="28"/>
          <w:highlight w:val="none"/>
          <w:lang w:eastAsia="zh-CN"/>
        </w:rPr>
        <w:t>招标</w:t>
      </w:r>
      <w:r>
        <w:rPr>
          <w:rFonts w:hint="eastAsia" w:ascii="宋体" w:hAnsi="宋体" w:cs="仿宋"/>
          <w:color w:val="auto"/>
          <w:sz w:val="28"/>
          <w:szCs w:val="28"/>
          <w:highlight w:val="none"/>
        </w:rPr>
        <w:t>控制价清单编制</w:t>
      </w:r>
      <w:r>
        <w:rPr>
          <w:rFonts w:hint="eastAsia" w:ascii="宋体" w:hAnsi="宋体" w:cs="仿宋"/>
          <w:color w:val="auto"/>
          <w:sz w:val="28"/>
          <w:szCs w:val="28"/>
          <w:highlight w:val="none"/>
          <w:lang w:eastAsia="zh-CN"/>
        </w:rPr>
        <w:t>纸质版</w:t>
      </w:r>
      <w:r>
        <w:rPr>
          <w:rFonts w:hint="eastAsia" w:ascii="宋体" w:hAnsi="宋体" w:cs="仿宋"/>
          <w:color w:val="auto"/>
          <w:sz w:val="28"/>
          <w:szCs w:val="28"/>
          <w:highlight w:val="none"/>
          <w:lang w:val="en-US" w:eastAsia="zh-CN"/>
        </w:rPr>
        <w:t>3套、</w:t>
      </w:r>
      <w:r>
        <w:rPr>
          <w:rFonts w:hint="eastAsia" w:ascii="宋体" w:hAnsi="宋体" w:cs="仿宋"/>
          <w:color w:val="auto"/>
          <w:sz w:val="28"/>
          <w:szCs w:val="28"/>
          <w:highlight w:val="none"/>
          <w:lang w:eastAsia="zh-CN"/>
        </w:rPr>
        <w:t>电子版本</w:t>
      </w:r>
      <w:r>
        <w:rPr>
          <w:rFonts w:hint="eastAsia" w:ascii="宋体" w:hAnsi="宋体" w:cs="仿宋"/>
          <w:color w:val="auto"/>
          <w:sz w:val="28"/>
          <w:szCs w:val="28"/>
          <w:highlight w:val="none"/>
          <w:lang w:val="en-US" w:eastAsia="zh-CN"/>
        </w:rPr>
        <w:t>1份（包括软件版本）</w:t>
      </w:r>
      <w:r>
        <w:rPr>
          <w:rFonts w:hint="eastAsia" w:ascii="宋体" w:hAnsi="宋体" w:cs="仿宋"/>
          <w:color w:val="auto"/>
          <w:sz w:val="28"/>
          <w:szCs w:val="28"/>
          <w:highlight w:val="none"/>
          <w:lang w:eastAsia="zh-CN"/>
        </w:rPr>
        <w:t>；技施设计图纸纸质版</w:t>
      </w:r>
      <w:r>
        <w:rPr>
          <w:rFonts w:hint="eastAsia" w:ascii="宋体" w:hAnsi="宋体" w:cs="仿宋"/>
          <w:color w:val="auto"/>
          <w:sz w:val="28"/>
          <w:szCs w:val="28"/>
          <w:highlight w:val="none"/>
          <w:lang w:val="en-US" w:eastAsia="zh-CN"/>
        </w:rPr>
        <w:t>6</w:t>
      </w:r>
      <w:r>
        <w:rPr>
          <w:rFonts w:hint="eastAsia" w:ascii="宋体" w:hAnsi="宋体" w:cs="仿宋"/>
          <w:color w:val="auto"/>
          <w:sz w:val="28"/>
          <w:szCs w:val="28"/>
          <w:highlight w:val="none"/>
        </w:rPr>
        <w:t>套</w:t>
      </w:r>
      <w:r>
        <w:rPr>
          <w:rFonts w:hint="eastAsia" w:ascii="宋体" w:hAnsi="宋体" w:cs="仿宋"/>
          <w:color w:val="auto"/>
          <w:sz w:val="28"/>
          <w:szCs w:val="28"/>
          <w:highlight w:val="none"/>
          <w:lang w:eastAsia="zh-CN"/>
        </w:rPr>
        <w:t>、</w:t>
      </w:r>
      <w:r>
        <w:rPr>
          <w:rFonts w:hint="eastAsia" w:ascii="宋体" w:hAnsi="宋体" w:cs="仿宋"/>
          <w:color w:val="auto"/>
          <w:sz w:val="28"/>
          <w:szCs w:val="28"/>
          <w:highlight w:val="none"/>
        </w:rPr>
        <w:t>电子</w:t>
      </w:r>
      <w:r>
        <w:rPr>
          <w:rFonts w:hint="eastAsia" w:ascii="宋体" w:hAnsi="宋体" w:cs="仿宋"/>
          <w:color w:val="auto"/>
          <w:sz w:val="28"/>
          <w:szCs w:val="28"/>
          <w:highlight w:val="none"/>
          <w:lang w:eastAsia="zh-CN"/>
        </w:rPr>
        <w:t>版本</w:t>
      </w:r>
      <w:r>
        <w:rPr>
          <w:rFonts w:hint="eastAsia" w:ascii="宋体" w:hAnsi="宋体" w:cs="仿宋"/>
          <w:color w:val="auto"/>
          <w:sz w:val="28"/>
          <w:szCs w:val="28"/>
          <w:highlight w:val="none"/>
          <w:lang w:val="en-US" w:eastAsia="zh-CN"/>
        </w:rPr>
        <w:t>1</w:t>
      </w:r>
      <w:r>
        <w:rPr>
          <w:rFonts w:hint="eastAsia" w:ascii="宋体" w:hAnsi="宋体" w:cs="仿宋"/>
          <w:color w:val="auto"/>
          <w:sz w:val="28"/>
          <w:szCs w:val="28"/>
          <w:highlight w:val="none"/>
        </w:rPr>
        <w:t>份</w:t>
      </w:r>
      <w:r>
        <w:rPr>
          <w:rFonts w:hint="eastAsia" w:ascii="宋体" w:hAnsi="宋体" w:cs="仿宋"/>
          <w:color w:val="auto"/>
          <w:sz w:val="28"/>
          <w:szCs w:val="28"/>
          <w:highlight w:val="none"/>
          <w:lang w:val="en-US" w:eastAsia="zh-CN"/>
        </w:rPr>
        <w:t>；</w:t>
      </w:r>
      <w:r>
        <w:rPr>
          <w:rFonts w:hint="eastAsia" w:asciiTheme="minorEastAsia" w:hAnsiTheme="minorEastAsia" w:eastAsiaTheme="minorEastAsia" w:cstheme="minorEastAsia"/>
          <w:color w:val="auto"/>
          <w:sz w:val="28"/>
          <w:szCs w:val="28"/>
          <w:highlight w:val="none"/>
          <w:lang w:val="en-US" w:eastAsia="zh-CN"/>
        </w:rPr>
        <w:t>竣工图</w:t>
      </w:r>
      <w:r>
        <w:rPr>
          <w:rFonts w:hint="eastAsia" w:asciiTheme="minorEastAsia" w:hAnsiTheme="minorEastAsia" w:eastAsiaTheme="minorEastAsia" w:cstheme="minorEastAsia"/>
          <w:color w:val="auto"/>
          <w:sz w:val="28"/>
          <w:szCs w:val="28"/>
          <w:highlight w:val="none"/>
          <w:lang w:eastAsia="zh-CN"/>
        </w:rPr>
        <w:t>纸质版</w:t>
      </w: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t>套</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电子</w:t>
      </w:r>
      <w:r>
        <w:rPr>
          <w:rFonts w:hint="eastAsia" w:asciiTheme="minorEastAsia" w:hAnsiTheme="minorEastAsia" w:eastAsiaTheme="minorEastAsia" w:cstheme="minorEastAsia"/>
          <w:color w:val="auto"/>
          <w:sz w:val="28"/>
          <w:szCs w:val="28"/>
          <w:highlight w:val="none"/>
          <w:lang w:eastAsia="zh-CN"/>
        </w:rPr>
        <w:t>版本</w:t>
      </w:r>
      <w:r>
        <w:rPr>
          <w:rFonts w:hint="eastAsia" w:asciiTheme="minorEastAsia" w:hAnsiTheme="minorEastAsia" w:eastAsia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rPr>
        <w:t>份</w:t>
      </w:r>
      <w:r>
        <w:rPr>
          <w:rFonts w:hint="eastAsia" w:asciiTheme="minorEastAsia" w:hAnsiTheme="minorEastAsia" w:eastAsiaTheme="minorEastAsia" w:cstheme="minorEastAsia"/>
          <w:color w:val="auto"/>
          <w:sz w:val="28"/>
          <w:szCs w:val="28"/>
          <w:highlight w:val="none"/>
          <w:lang w:eastAsia="zh-CN"/>
        </w:rPr>
        <w:t>。</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（三）技术要求</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本项目成果应符合国家有关工程建设标准强制性条文、中华人民共和国国家标准和水利部及其他部委颁布的有关水利工程设计等方面现行的标准、规范、规程、定额、办法、示例，以及住建部、水利部、四川省住建厅、四川省水利厅的有关水利建设方面的文件和规定。按照国家及行业现行标准、技术规范规程，对项目进行认真调查分析，对所出具的成果应负法律责任。</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 xml:space="preserve">采用技术规范要求：                         </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水利部办公厅关于印发《智能化小型水电站技术指南（试行）《小水电集控中心技术指南（试行）》的通知  办水电函〔2023〕596 号</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《建筑结构荷载规范》 (GB50009-2012)</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《混凝土结构设计规范》(GB50010-2010)</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《建筑地基基础设计规范》(GB50007-2012)</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《钢结构设计规范》(GB50017-2020)</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《砌体结构设计规范》(GB50003-2011)</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《建筑抗震设计规范》(GB50011—2010)</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《建筑设计防火规范》（GB50016-2014）；</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《水利水电工程设计防火规范》（SL329-2005）；</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《水喷雾灭火系统设计规划》（GB50219-95）；</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《火灾自动报警系统设计规范》（GB50116-2013）；</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《建筑内部装修设计防火规范》（GB50222-2001）；</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《自动喷水灭火系统设计规范》（GB50084-2001）；</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《建筑灭火器配置设计规范》（GB50140-2005）；</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《电力设备典型消防规程》（DL5027-93）；</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《高压配电装置设计技术规程》（DL/T5352-2006）；</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《电力工程电缆设计规范》（GB50217-2007）；</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《水力发电厂厂房采暖通风和空气调节设计规程》（DL/T5165-2002）；</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《城市道路照明设计标准》(CJJ45-2015)</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《低压配电设计规范》(GB50054-2019)</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《供配电系统设计规范》(GB50052-2009)</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《办公建筑设计标准》JGJ67—2006</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《民用建筑设计通则》GB50352-2005</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《无障碍设计标准》GB50763-2012</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《室外排水设计规范》(GB50014-2006)2023版；</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《给水排水管道工程施工及验收规范》(GB50268-2023);</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《给水排水工程构筑物结构设计规范》(GB50069-2002);</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《给水排水工程管道结构设计规范》(GB50332-2002);</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《城市道路绿化规划与设计规范》(CJJ75-97);</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《绿地设计规程》(DG/TJ08-15-2009);</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《园林绿化工程施工及验收规范》CJJ82-2023;</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《城市绿地设计规范》(GB50420-2007);</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《园林绿化工程工程量计算规范》GB50858-2023;</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GB50198-94民用闭路监视电视系统工程技术规范</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GB12322-90通用性应用电视设备可靠性试验方法</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GB12663-90防盗报警控制器通用技术条件</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GB4798.4-90电工电子产品应用环境条件无气候防护场所使用</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GB2423.10-89电工电子产品基本环境试验规程</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GB/T17626.2静电放电抗扰度试验</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GB/T17626.3射频电磁场辐射抗扰度试验</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GB/T17626.4电快速瞬变脉冲群抗扰度试验</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GB/T17626.5浪涌（冲击）抗扰度试验</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GB/T17626.6射频场感应的传导骚扰抗扰度</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GB/T17626.8工频磁场的抗扰度试验</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GB50217-94电力工程电缆设计规范</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IEC364-4-41保护接地和防雷接地标准</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GB/T14429-93远动设备及系统-术语</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GB/T13926.n-92工业过程测量和控制装置的电磁兼容性</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ITU-TH.323网络电视电话系统和终端设备标准</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CCITTG.703脉冲编码调制通信系统网路数字接口参数标准</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YD610-93PCM基群信令接口设备技术要求和测试方法</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ISO/IEC14496-2MPEG4视音频编解码标准-视听对象的编码</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ITUH.263视音频编解码标准</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DL476-92电力系统实时数据通信应用层协议</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IEC60870-5-101基本远动任务配套标准</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IEC60870-5-103继电保护设备信息接口配套标准</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IEEE802.310BASE-T以太网接口标准</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IEEE802.3U100BASE-TX快速以太网接口标准</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QB/001-123.01.2002《广电集团电力远程图像监控系统技术标准》</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《工业企业能源管理导则》（GB/T15587-2008）；</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《用能单位能源计量器具配备和管理通则》（GB17167-2006）；</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《节电措施经济效益计算与评价》（GB/T12471-2008）；</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《公共建筑节能设计标准》（GB50189-2015）；</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《夏热冬冷地区居住建筑节能设计标准》（JCJ124-2010）；</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《采暖通风与空气调节设计规范》（GB50019-2003）；</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《外墙外保温工程技术规程》（JGJ144-2004）；</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《建筑照明设计标准》（GB50034-2004）；</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《建筑采光设计标准》（GB/T50033-2012）；</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《节水灌溉工程技术规范》（GB/T50363-2006）。</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《节能评估技术导则》（GB/T31341-2014）</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《公共建筑节能检测标准》（JGJ/T177-2009）</w:t>
      </w:r>
    </w:p>
    <w:p>
      <w:pPr>
        <w:pStyle w:val="2"/>
        <w:snapToGrid w:val="0"/>
        <w:spacing w:line="360" w:lineRule="auto"/>
        <w:ind w:firstLine="495" w:firstLineChars="177"/>
        <w:rPr>
          <w:rFonts w:hint="eastAsia" w:ascii="宋体" w:hAnsi="宋体" w:cs="仿宋"/>
          <w:color w:val="auto"/>
          <w:sz w:val="28"/>
          <w:szCs w:val="28"/>
          <w:highlight w:val="none"/>
        </w:rPr>
      </w:pPr>
      <w:r>
        <w:rPr>
          <w:rFonts w:hint="eastAsia" w:ascii="宋体" w:hAnsi="宋体" w:cs="仿宋"/>
          <w:color w:val="auto"/>
          <w:sz w:val="28"/>
          <w:szCs w:val="28"/>
          <w:highlight w:val="none"/>
        </w:rPr>
        <w:t>《电子信息系统机房设计规范》 (GB50174-—2023)</w:t>
      </w:r>
    </w:p>
    <w:p>
      <w:pPr>
        <w:pStyle w:val="2"/>
        <w:snapToGrid w:val="0"/>
        <w:spacing w:line="360" w:lineRule="auto"/>
        <w:ind w:firstLine="560" w:firstLineChars="200"/>
        <w:rPr>
          <w:rFonts w:hint="eastAsia" w:ascii="宋体" w:hAnsi="宋体" w:cs="仿宋"/>
          <w:color w:val="auto"/>
          <w:sz w:val="28"/>
          <w:szCs w:val="28"/>
          <w:highlight w:val="none"/>
        </w:rPr>
      </w:pPr>
      <w:r>
        <w:rPr>
          <w:rFonts w:hint="eastAsia" w:ascii="宋体" w:hAnsi="宋体" w:cs="仿宋"/>
          <w:color w:val="auto"/>
          <w:sz w:val="28"/>
          <w:szCs w:val="28"/>
          <w:highlight w:val="none"/>
        </w:rPr>
        <w:t>《电子信息系统机房施工及验收规范》 (GB50462-2023)</w:t>
      </w:r>
    </w:p>
    <w:p>
      <w:pPr>
        <w:pStyle w:val="2"/>
        <w:snapToGrid w:val="0"/>
        <w:spacing w:line="360" w:lineRule="auto"/>
        <w:ind w:firstLine="495" w:firstLineChars="177"/>
        <w:rPr>
          <w:rFonts w:hint="eastAsia" w:ascii="宋体" w:hAnsi="宋体" w:cs="仿宋"/>
          <w:color w:val="auto"/>
          <w:sz w:val="28"/>
          <w:szCs w:val="28"/>
          <w:highlight w:val="none"/>
        </w:rPr>
      </w:pPr>
      <w:r>
        <w:rPr>
          <w:rFonts w:hint="eastAsia" w:ascii="宋体" w:hAnsi="宋体" w:cs="仿宋"/>
          <w:color w:val="auto"/>
          <w:sz w:val="28"/>
          <w:szCs w:val="28"/>
          <w:highlight w:val="none"/>
        </w:rPr>
        <w:t>《建筑物电子信息系统防雷技术规范》(GB50343-2023)</w:t>
      </w:r>
    </w:p>
    <w:p>
      <w:pPr>
        <w:pStyle w:val="2"/>
        <w:snapToGrid w:val="0"/>
        <w:spacing w:line="360" w:lineRule="auto"/>
        <w:ind w:firstLine="495" w:firstLineChars="177"/>
        <w:rPr>
          <w:rFonts w:hint="eastAsia" w:ascii="宋体" w:hAnsi="宋体" w:cs="仿宋"/>
          <w:color w:val="auto"/>
          <w:sz w:val="28"/>
          <w:szCs w:val="28"/>
          <w:highlight w:val="none"/>
        </w:rPr>
      </w:pPr>
      <w:r>
        <w:rPr>
          <w:rFonts w:hint="eastAsia" w:ascii="宋体" w:hAnsi="宋体" w:cs="仿宋"/>
          <w:color w:val="auto"/>
          <w:sz w:val="28"/>
          <w:szCs w:val="28"/>
          <w:highlight w:val="none"/>
        </w:rPr>
        <w:t>《气体灭火系统施工及验收规范》(GB50263-—2023)</w:t>
      </w:r>
    </w:p>
    <w:p>
      <w:pPr>
        <w:pStyle w:val="2"/>
        <w:snapToGrid w:val="0"/>
        <w:spacing w:line="360" w:lineRule="auto"/>
        <w:ind w:firstLine="495" w:firstLineChars="177"/>
        <w:rPr>
          <w:rFonts w:hint="eastAsia" w:ascii="宋体" w:hAnsi="宋体" w:cs="仿宋"/>
          <w:color w:val="auto"/>
          <w:sz w:val="28"/>
          <w:szCs w:val="28"/>
          <w:highlight w:val="none"/>
        </w:rPr>
      </w:pPr>
      <w:r>
        <w:rPr>
          <w:rFonts w:hint="eastAsia" w:ascii="宋体" w:hAnsi="宋体" w:cs="仿宋"/>
          <w:color w:val="auto"/>
          <w:sz w:val="28"/>
          <w:szCs w:val="28"/>
          <w:highlight w:val="none"/>
        </w:rPr>
        <w:t>《综合布线工程设计规范》(GB50311-2023)</w:t>
      </w:r>
    </w:p>
    <w:p>
      <w:pPr>
        <w:pStyle w:val="2"/>
        <w:snapToGrid w:val="0"/>
        <w:spacing w:line="360" w:lineRule="auto"/>
        <w:ind w:firstLine="495" w:firstLineChars="177"/>
        <w:rPr>
          <w:rFonts w:hint="eastAsia" w:ascii="宋体" w:hAnsi="宋体" w:cs="仿宋"/>
          <w:color w:val="auto"/>
          <w:sz w:val="28"/>
          <w:szCs w:val="28"/>
          <w:highlight w:val="none"/>
        </w:rPr>
      </w:pPr>
      <w:r>
        <w:rPr>
          <w:rFonts w:hint="eastAsia" w:ascii="宋体" w:hAnsi="宋体" w:cs="仿宋"/>
          <w:color w:val="auto"/>
          <w:sz w:val="28"/>
          <w:szCs w:val="28"/>
          <w:highlight w:val="none"/>
        </w:rPr>
        <w:t>《综合布线系统工程验收规范》 （GB50312-2023)</w:t>
      </w:r>
    </w:p>
    <w:p>
      <w:pPr>
        <w:pStyle w:val="2"/>
        <w:snapToGrid w:val="0"/>
        <w:spacing w:line="360" w:lineRule="auto"/>
        <w:ind w:firstLine="495" w:firstLineChars="177"/>
        <w:rPr>
          <w:rFonts w:hint="eastAsia" w:ascii="宋体" w:hAnsi="宋体" w:cs="仿宋"/>
          <w:color w:val="auto"/>
          <w:sz w:val="28"/>
          <w:szCs w:val="28"/>
          <w:highlight w:val="none"/>
        </w:rPr>
      </w:pPr>
      <w:r>
        <w:rPr>
          <w:rFonts w:hint="eastAsia" w:ascii="宋体" w:hAnsi="宋体" w:cs="仿宋"/>
          <w:color w:val="auto"/>
          <w:sz w:val="28"/>
          <w:szCs w:val="28"/>
          <w:highlight w:val="none"/>
        </w:rPr>
        <w:t>《入侵报警系统工程设计规范》(GB50394-2023)(10）《视频安防监控系统设计规范》(GB50395-2023)</w:t>
      </w:r>
    </w:p>
    <w:p>
      <w:pPr>
        <w:pStyle w:val="2"/>
        <w:snapToGrid w:val="0"/>
        <w:spacing w:line="360" w:lineRule="auto"/>
        <w:ind w:firstLine="495" w:firstLineChars="177"/>
        <w:rPr>
          <w:rFonts w:hint="eastAsia" w:ascii="宋体" w:hAnsi="宋体" w:cs="仿宋"/>
          <w:color w:val="auto"/>
          <w:sz w:val="28"/>
          <w:szCs w:val="28"/>
          <w:highlight w:val="none"/>
        </w:rPr>
      </w:pPr>
      <w:r>
        <w:rPr>
          <w:rFonts w:hint="eastAsia" w:ascii="宋体" w:hAnsi="宋体" w:cs="仿宋"/>
          <w:color w:val="auto"/>
          <w:sz w:val="28"/>
          <w:szCs w:val="28"/>
          <w:highlight w:val="none"/>
        </w:rPr>
        <w:t>《出入口控制系统工程设计规范》 (GB50396-2023)</w:t>
      </w:r>
    </w:p>
    <w:p>
      <w:pPr>
        <w:pStyle w:val="2"/>
        <w:snapToGrid w:val="0"/>
        <w:spacing w:line="360" w:lineRule="auto"/>
        <w:ind w:firstLine="495" w:firstLineChars="177"/>
        <w:rPr>
          <w:rFonts w:hint="eastAsia" w:ascii="宋体" w:hAnsi="宋体" w:cs="仿宋"/>
          <w:color w:val="auto"/>
          <w:sz w:val="28"/>
          <w:szCs w:val="28"/>
          <w:highlight w:val="none"/>
        </w:rPr>
      </w:pPr>
      <w:r>
        <w:rPr>
          <w:rFonts w:hint="eastAsia" w:ascii="宋体" w:hAnsi="宋体" w:cs="仿宋"/>
          <w:color w:val="auto"/>
          <w:sz w:val="28"/>
          <w:szCs w:val="28"/>
          <w:highlight w:val="none"/>
        </w:rPr>
        <w:t>《气体灭火系统设计规范》(GB50370—2023)</w:t>
      </w:r>
    </w:p>
    <w:p>
      <w:pPr>
        <w:pStyle w:val="2"/>
        <w:snapToGrid w:val="0"/>
        <w:spacing w:line="360" w:lineRule="auto"/>
        <w:ind w:firstLine="495" w:firstLineChars="177"/>
        <w:rPr>
          <w:rFonts w:hint="eastAsia" w:ascii="宋体" w:hAnsi="宋体" w:cs="仿宋"/>
          <w:color w:val="auto"/>
          <w:sz w:val="28"/>
          <w:szCs w:val="28"/>
          <w:highlight w:val="none"/>
        </w:rPr>
      </w:pPr>
      <w:r>
        <w:rPr>
          <w:rFonts w:hint="eastAsia" w:ascii="宋体" w:hAnsi="宋体" w:cs="仿宋"/>
          <w:color w:val="auto"/>
          <w:sz w:val="28"/>
          <w:szCs w:val="28"/>
          <w:highlight w:val="none"/>
        </w:rPr>
        <w:t>《安全防备工程技术规范》(GB50348-2023)</w:t>
      </w:r>
    </w:p>
    <w:p>
      <w:pPr>
        <w:pStyle w:val="2"/>
        <w:snapToGrid w:val="0"/>
        <w:spacing w:line="360" w:lineRule="auto"/>
        <w:ind w:firstLine="495" w:firstLineChars="177"/>
        <w:rPr>
          <w:rFonts w:hint="eastAsia" w:ascii="宋体" w:hAnsi="宋体" w:cs="仿宋"/>
          <w:color w:val="auto"/>
          <w:sz w:val="28"/>
          <w:szCs w:val="28"/>
          <w:highlight w:val="none"/>
        </w:rPr>
      </w:pPr>
      <w:r>
        <w:rPr>
          <w:rFonts w:hint="eastAsia" w:ascii="宋体" w:hAnsi="宋体" w:cs="仿宋"/>
          <w:color w:val="auto"/>
          <w:sz w:val="28"/>
          <w:szCs w:val="28"/>
          <w:highlight w:val="none"/>
        </w:rPr>
        <w:t>《火灾自动报警系统设计规范》(GB50116-98）</w:t>
      </w:r>
    </w:p>
    <w:p>
      <w:pPr>
        <w:pStyle w:val="2"/>
        <w:snapToGrid w:val="0"/>
        <w:spacing w:line="360" w:lineRule="auto"/>
        <w:ind w:firstLine="495" w:firstLineChars="177"/>
        <w:rPr>
          <w:rFonts w:hint="eastAsia" w:ascii="宋体" w:hAnsi="宋体" w:cs="仿宋"/>
          <w:color w:val="auto"/>
          <w:sz w:val="28"/>
          <w:szCs w:val="28"/>
          <w:highlight w:val="none"/>
        </w:rPr>
      </w:pPr>
      <w:r>
        <w:rPr>
          <w:rFonts w:hint="eastAsia" w:ascii="宋体" w:hAnsi="宋体" w:cs="仿宋"/>
          <w:color w:val="auto"/>
          <w:sz w:val="28"/>
          <w:szCs w:val="28"/>
          <w:highlight w:val="none"/>
        </w:rPr>
        <w:t>《信息技术 安全技术 信息安全管理体系规定&gt;(GB/T22080</w:t>
      </w:r>
    </w:p>
    <w:p>
      <w:pPr>
        <w:pStyle w:val="2"/>
        <w:snapToGrid w:val="0"/>
        <w:spacing w:line="360" w:lineRule="auto"/>
        <w:ind w:firstLine="495" w:firstLineChars="177"/>
        <w:rPr>
          <w:rFonts w:hint="eastAsia" w:ascii="宋体" w:hAnsi="宋体" w:cs="仿宋"/>
          <w:color w:val="auto"/>
          <w:sz w:val="28"/>
          <w:szCs w:val="28"/>
          <w:highlight w:val="none"/>
        </w:rPr>
      </w:pPr>
      <w:r>
        <w:rPr>
          <w:rFonts w:hint="eastAsia" w:ascii="宋体" w:hAnsi="宋体" w:cs="仿宋"/>
          <w:color w:val="auto"/>
          <w:sz w:val="28"/>
          <w:szCs w:val="28"/>
          <w:highlight w:val="none"/>
        </w:rPr>
        <w:t>-2023)</w:t>
      </w:r>
    </w:p>
    <w:p>
      <w:pPr>
        <w:pStyle w:val="2"/>
        <w:snapToGrid w:val="0"/>
        <w:spacing w:line="360" w:lineRule="auto"/>
        <w:ind w:firstLine="495" w:firstLineChars="177"/>
        <w:rPr>
          <w:rFonts w:hint="eastAsia" w:ascii="宋体" w:hAnsi="宋体" w:cs="仿宋"/>
          <w:color w:val="auto"/>
          <w:sz w:val="28"/>
          <w:szCs w:val="28"/>
          <w:highlight w:val="none"/>
        </w:rPr>
      </w:pPr>
      <w:r>
        <w:rPr>
          <w:rFonts w:hint="eastAsia" w:ascii="宋体" w:hAnsi="宋体" w:cs="仿宋"/>
          <w:color w:val="auto"/>
          <w:sz w:val="28"/>
          <w:szCs w:val="28"/>
          <w:highlight w:val="none"/>
        </w:rPr>
        <w:t>《信息安全技术 信息系统安全等级保护基本规定》</w:t>
      </w:r>
    </w:p>
    <w:p>
      <w:pPr>
        <w:pStyle w:val="2"/>
        <w:snapToGrid w:val="0"/>
        <w:spacing w:line="360" w:lineRule="auto"/>
        <w:ind w:firstLine="495" w:firstLineChars="177"/>
        <w:rPr>
          <w:rFonts w:hint="eastAsia" w:ascii="宋体" w:hAnsi="宋体" w:cs="仿宋"/>
          <w:color w:val="auto"/>
          <w:sz w:val="28"/>
          <w:szCs w:val="28"/>
          <w:highlight w:val="none"/>
        </w:rPr>
      </w:pPr>
      <w:r>
        <w:rPr>
          <w:rFonts w:hint="eastAsia" w:ascii="宋体" w:hAnsi="宋体" w:cs="仿宋"/>
          <w:color w:val="auto"/>
          <w:sz w:val="28"/>
          <w:szCs w:val="28"/>
          <w:highlight w:val="none"/>
        </w:rPr>
        <w:t>（GB/T22239-2023)</w:t>
      </w:r>
    </w:p>
    <w:p>
      <w:pPr>
        <w:pStyle w:val="2"/>
        <w:snapToGrid w:val="0"/>
        <w:spacing w:line="360" w:lineRule="auto"/>
        <w:ind w:firstLine="495" w:firstLineChars="177"/>
        <w:rPr>
          <w:rFonts w:hint="eastAsia" w:ascii="宋体" w:hAnsi="宋体" w:cs="仿宋"/>
          <w:color w:val="auto"/>
          <w:sz w:val="28"/>
          <w:szCs w:val="28"/>
          <w:highlight w:val="none"/>
        </w:rPr>
      </w:pPr>
      <w:r>
        <w:rPr>
          <w:rFonts w:hint="eastAsia" w:ascii="宋体" w:hAnsi="宋体" w:cs="仿宋"/>
          <w:color w:val="auto"/>
          <w:sz w:val="28"/>
          <w:szCs w:val="28"/>
          <w:highlight w:val="none"/>
        </w:rPr>
        <w:t>《信息安全技术 信息系统劫难恢复规范》(GB/T20988一</w:t>
      </w:r>
    </w:p>
    <w:p>
      <w:pPr>
        <w:pStyle w:val="2"/>
        <w:snapToGrid w:val="0"/>
        <w:spacing w:line="360" w:lineRule="auto"/>
        <w:ind w:firstLine="495" w:firstLineChars="177"/>
        <w:rPr>
          <w:color w:val="auto"/>
          <w:highlight w:val="none"/>
        </w:rPr>
      </w:pPr>
      <w:r>
        <w:rPr>
          <w:rFonts w:hint="eastAsia" w:ascii="宋体" w:hAnsi="宋体" w:cs="仿宋"/>
          <w:color w:val="auto"/>
          <w:sz w:val="28"/>
          <w:szCs w:val="28"/>
          <w:highlight w:val="none"/>
        </w:rPr>
        <w:t>2023)筑能效标识技术标准》（JGJ/T288-2012）</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（四）其他技术、服务要求</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lang w:val="zh-TW"/>
        </w:rPr>
        <w:t>1、成交人在项目实施过程当中须合理配置人员，提供好各项服务。供应商提供的各项服务均须</w:t>
      </w:r>
      <w:r>
        <w:rPr>
          <w:rFonts w:hint="eastAsia" w:ascii="宋体" w:hAnsi="宋体" w:cs="仿宋"/>
          <w:color w:val="auto"/>
          <w:sz w:val="28"/>
          <w:szCs w:val="28"/>
          <w:highlight w:val="none"/>
        </w:rPr>
        <w:t>满足国家及行业相关的规范标准。</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2、供应商所有成果资料所有权归业主方所有。供应商整体移交本项目相关资料，供应商不得收取除成交金额外的任何费用。</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3、供应商在项目实施过程当中须合理配置人员，提供好各项服务。</w:t>
      </w:r>
    </w:p>
    <w:p>
      <w:pPr>
        <w:snapToGrid w:val="0"/>
        <w:spacing w:line="360" w:lineRule="auto"/>
        <w:ind w:firstLine="562" w:firstLineChars="200"/>
        <w:rPr>
          <w:rFonts w:ascii="宋体" w:hAnsi="宋体" w:cs="仿宋"/>
          <w:b/>
          <w:bCs/>
          <w:color w:val="auto"/>
          <w:sz w:val="28"/>
          <w:szCs w:val="28"/>
          <w:highlight w:val="none"/>
        </w:rPr>
      </w:pPr>
      <w:r>
        <w:rPr>
          <w:rFonts w:hint="eastAsia" w:ascii="宋体" w:hAnsi="宋体" w:cs="仿宋"/>
          <w:b/>
          <w:bCs/>
          <w:color w:val="auto"/>
          <w:sz w:val="28"/>
          <w:szCs w:val="28"/>
          <w:highlight w:val="none"/>
        </w:rPr>
        <w:t>四、商务要求</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1、服务地点：</w:t>
      </w:r>
      <w:r>
        <w:rPr>
          <w:rFonts w:hint="eastAsia" w:ascii="宋体" w:hAnsi="宋体" w:cs="仿宋"/>
          <w:color w:val="auto"/>
          <w:sz w:val="28"/>
          <w:szCs w:val="28"/>
          <w:highlight w:val="none"/>
          <w:u w:val="single"/>
        </w:rPr>
        <w:t xml:space="preserve"> 崇州市 </w:t>
      </w:r>
      <w:r>
        <w:rPr>
          <w:rFonts w:hint="eastAsia" w:ascii="宋体" w:hAnsi="宋体" w:cs="仿宋"/>
          <w:color w:val="auto"/>
          <w:sz w:val="28"/>
          <w:szCs w:val="28"/>
          <w:highlight w:val="none"/>
        </w:rPr>
        <w:t>。</w:t>
      </w:r>
    </w:p>
    <w:p>
      <w:pPr>
        <w:pStyle w:val="2"/>
        <w:snapToGrid w:val="0"/>
        <w:spacing w:line="360" w:lineRule="auto"/>
        <w:ind w:firstLine="495" w:firstLineChars="177"/>
        <w:rPr>
          <w:rFonts w:ascii="宋体" w:hAnsi="宋体"/>
          <w:color w:val="auto"/>
          <w:sz w:val="28"/>
          <w:szCs w:val="28"/>
          <w:highlight w:val="none"/>
        </w:rPr>
      </w:pPr>
      <w:r>
        <w:rPr>
          <w:rFonts w:hint="eastAsia" w:ascii="宋体" w:hAnsi="宋体" w:cs="宋体"/>
          <w:color w:val="auto"/>
          <w:sz w:val="28"/>
          <w:szCs w:val="28"/>
          <w:highlight w:val="none"/>
        </w:rPr>
        <w:t>★</w:t>
      </w:r>
      <w:r>
        <w:rPr>
          <w:rFonts w:hint="eastAsia" w:ascii="宋体" w:hAnsi="宋体" w:cs="仿宋"/>
          <w:color w:val="auto"/>
          <w:sz w:val="28"/>
          <w:szCs w:val="28"/>
          <w:highlight w:val="none"/>
        </w:rPr>
        <w:t>2、服务期限：合同签定后</w:t>
      </w:r>
      <w:r>
        <w:rPr>
          <w:rFonts w:hint="eastAsia" w:ascii="宋体" w:hAnsi="宋体"/>
          <w:color w:val="auto"/>
          <w:sz w:val="28"/>
          <w:szCs w:val="28"/>
          <w:highlight w:val="none"/>
        </w:rPr>
        <w:t>10个工作日内完成项目实施方案，通过专家技术审查取得审查意见。</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宋体"/>
          <w:color w:val="auto"/>
          <w:sz w:val="28"/>
          <w:szCs w:val="28"/>
          <w:highlight w:val="none"/>
        </w:rPr>
        <w:t>★</w:t>
      </w:r>
      <w:r>
        <w:rPr>
          <w:rFonts w:hint="eastAsia" w:ascii="宋体" w:hAnsi="宋体" w:cs="仿宋"/>
          <w:color w:val="auto"/>
          <w:sz w:val="28"/>
          <w:szCs w:val="28"/>
          <w:highlight w:val="none"/>
        </w:rPr>
        <w:t>3、关于报价：</w:t>
      </w:r>
    </w:p>
    <w:p>
      <w:pPr>
        <w:pStyle w:val="2"/>
        <w:numPr>
          <w:ilvl w:val="0"/>
          <w:numId w:val="1"/>
        </w:numPr>
        <w:snapToGrid w:val="0"/>
        <w:spacing w:line="360" w:lineRule="auto"/>
        <w:ind w:firstLine="495" w:firstLineChars="177"/>
        <w:rPr>
          <w:rFonts w:hint="eastAsia" w:ascii="宋体" w:hAnsi="宋体" w:cs="仿宋"/>
          <w:color w:val="auto"/>
          <w:sz w:val="28"/>
          <w:szCs w:val="28"/>
          <w:highlight w:val="none"/>
        </w:rPr>
      </w:pPr>
      <w:r>
        <w:rPr>
          <w:rFonts w:hint="eastAsia" w:ascii="宋体" w:hAnsi="宋体" w:cs="仿宋"/>
          <w:color w:val="auto"/>
          <w:sz w:val="28"/>
          <w:szCs w:val="28"/>
          <w:highlight w:val="none"/>
        </w:rPr>
        <w:t>本项目报价</w:t>
      </w:r>
      <w:r>
        <w:rPr>
          <w:rFonts w:hint="eastAsia" w:ascii="宋体" w:hAnsi="宋体" w:cs="仿宋"/>
          <w:color w:val="auto"/>
          <w:sz w:val="28"/>
          <w:szCs w:val="28"/>
          <w:highlight w:val="none"/>
          <w:lang w:val="en-US" w:eastAsia="zh-CN"/>
        </w:rPr>
        <w:t>结合供应商自身情况及管理经验对本项目设计费、清单控制价编制费自主下浮报价</w:t>
      </w:r>
      <w:r>
        <w:rPr>
          <w:rFonts w:hint="eastAsia" w:ascii="宋体" w:hAnsi="宋体" w:cs="仿宋"/>
          <w:color w:val="auto"/>
          <w:sz w:val="28"/>
          <w:szCs w:val="28"/>
          <w:highlight w:val="none"/>
        </w:rPr>
        <w:t>。超过采购预算</w:t>
      </w:r>
      <w:r>
        <w:rPr>
          <w:rFonts w:hint="eastAsia" w:ascii="宋体" w:hAnsi="宋体" w:cs="仿宋"/>
          <w:color w:val="auto"/>
          <w:sz w:val="28"/>
          <w:szCs w:val="28"/>
          <w:highlight w:val="none"/>
          <w:lang w:val="en-US" w:eastAsia="zh-CN"/>
        </w:rPr>
        <w:t>及最高限价</w:t>
      </w:r>
      <w:r>
        <w:rPr>
          <w:rFonts w:hint="eastAsia" w:ascii="宋体" w:hAnsi="宋体" w:cs="仿宋"/>
          <w:color w:val="auto"/>
          <w:sz w:val="28"/>
          <w:szCs w:val="28"/>
          <w:highlight w:val="none"/>
        </w:rPr>
        <w:t>的报价为无效报价</w:t>
      </w:r>
      <w:r>
        <w:rPr>
          <w:rFonts w:hint="eastAsia" w:ascii="宋体" w:hAnsi="宋体" w:cs="仿宋"/>
          <w:color w:val="auto"/>
          <w:sz w:val="28"/>
          <w:szCs w:val="28"/>
          <w:highlight w:val="none"/>
          <w:lang w:eastAsia="zh-CN"/>
        </w:rPr>
        <w:t>。（</w:t>
      </w:r>
      <w:r>
        <w:rPr>
          <w:rFonts w:hint="eastAsia" w:ascii="宋体" w:hAnsi="宋体" w:cs="仿宋"/>
          <w:color w:val="auto"/>
          <w:sz w:val="28"/>
          <w:szCs w:val="28"/>
          <w:highlight w:val="none"/>
          <w:lang w:val="en-US" w:eastAsia="zh-CN"/>
        </w:rPr>
        <w:t>注：</w:t>
      </w:r>
      <w:r>
        <w:rPr>
          <w:rFonts w:hint="eastAsia" w:ascii="宋体" w:hAnsi="宋体" w:cs="仿宋"/>
          <w:color w:val="auto"/>
          <w:sz w:val="28"/>
          <w:szCs w:val="28"/>
          <w:highlight w:val="none"/>
        </w:rPr>
        <w:t>以该项目概算批复中的总投资金额</w:t>
      </w:r>
      <w:r>
        <w:rPr>
          <w:rFonts w:hint="eastAsia" w:ascii="宋体" w:hAnsi="宋体" w:cs="仿宋"/>
          <w:color w:val="auto"/>
          <w:sz w:val="28"/>
          <w:szCs w:val="28"/>
          <w:highlight w:val="none"/>
          <w:lang w:val="en-US" w:eastAsia="zh-CN"/>
        </w:rPr>
        <w:t>作为计算基数</w:t>
      </w:r>
      <w:r>
        <w:rPr>
          <w:rFonts w:hint="eastAsia" w:ascii="宋体" w:hAnsi="宋体" w:cs="仿宋"/>
          <w:color w:val="auto"/>
          <w:sz w:val="28"/>
          <w:szCs w:val="28"/>
          <w:highlight w:val="none"/>
        </w:rPr>
        <w:t>。计算依据以《工程勘察设计收费管理规定）的通知》（计价格【2002】10号）文件、《四川省水利水电工程设计概（估）算编制规定》和四川省建设厅关于《工程造价咨询服务收费标准》的通知川价发〔2008〕141号规定的计费标准</w:t>
      </w:r>
      <w:r>
        <w:rPr>
          <w:rFonts w:hint="eastAsia" w:ascii="宋体" w:hAnsi="宋体" w:cs="仿宋"/>
          <w:color w:val="auto"/>
          <w:sz w:val="28"/>
          <w:szCs w:val="28"/>
          <w:highlight w:val="none"/>
          <w:lang w:eastAsia="zh-CN"/>
        </w:rPr>
        <w:t>）。</w:t>
      </w:r>
      <w:r>
        <w:rPr>
          <w:rFonts w:hint="eastAsia" w:ascii="宋体" w:hAnsi="宋体" w:cs="仿宋"/>
          <w:color w:val="auto"/>
          <w:sz w:val="28"/>
          <w:szCs w:val="28"/>
          <w:highlight w:val="none"/>
          <w:lang w:val="en-US" w:eastAsia="zh-CN"/>
        </w:rPr>
        <w:t>本项目</w:t>
      </w:r>
      <w:r>
        <w:rPr>
          <w:rFonts w:hint="eastAsia" w:ascii="宋体" w:hAnsi="宋体" w:cs="仿宋"/>
          <w:color w:val="auto"/>
          <w:sz w:val="28"/>
          <w:szCs w:val="28"/>
          <w:highlight w:val="none"/>
          <w:lang w:eastAsia="zh-CN"/>
        </w:rPr>
        <w:t>工程专业调整系数：1.2；工程复杂程度调整系数：1.15；基本设计费的基础上加收主体协调设计费5%；基本设计费的基础上加收竣工图编制费8%。</w:t>
      </w:r>
      <w:r>
        <w:rPr>
          <w:rFonts w:hint="eastAsia" w:ascii="宋体" w:hAnsi="宋体" w:cs="仿宋"/>
          <w:color w:val="auto"/>
          <w:sz w:val="28"/>
          <w:szCs w:val="28"/>
          <w:highlight w:val="none"/>
        </w:rPr>
        <w:t>报价包括但不仅限于：人工劳务、设备投入、利润、风险、保险、税金、招标代理服务费等在内的一切费用，采购人不再支付任何费用。</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w:t>
      </w:r>
      <w:r>
        <w:rPr>
          <w:rFonts w:hint="eastAsia" w:ascii="宋体" w:hAnsi="宋体" w:cs="仿宋"/>
          <w:color w:val="auto"/>
          <w:sz w:val="28"/>
          <w:szCs w:val="28"/>
          <w:highlight w:val="none"/>
          <w:lang w:val="en-US" w:eastAsia="zh-CN"/>
        </w:rPr>
        <w:t>2</w:t>
      </w:r>
      <w:r>
        <w:rPr>
          <w:rFonts w:hint="eastAsia" w:ascii="宋体" w:hAnsi="宋体" w:cs="仿宋"/>
          <w:color w:val="auto"/>
          <w:sz w:val="28"/>
          <w:szCs w:val="28"/>
          <w:highlight w:val="none"/>
        </w:rPr>
        <w:t>）供应商应根据本项目的实际情况与自身现实情况，充分考虑不确定因素可能导致的风险，若因供应商原因造成的漏报、错报而导致本项目无法履行，所有责任均由供应商负责，采购人不会承担任何费用。</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宋体"/>
          <w:color w:val="auto"/>
          <w:sz w:val="28"/>
          <w:szCs w:val="28"/>
          <w:highlight w:val="none"/>
        </w:rPr>
        <w:t>★</w:t>
      </w:r>
      <w:r>
        <w:rPr>
          <w:rFonts w:hint="eastAsia" w:ascii="宋体" w:hAnsi="宋体" w:cs="仿宋"/>
          <w:color w:val="auto"/>
          <w:sz w:val="28"/>
          <w:szCs w:val="28"/>
          <w:highlight w:val="none"/>
        </w:rPr>
        <w:t xml:space="preserve">4、安全要求：本项目自供应商签订合同之日起至提交最终成果之日止，供应商将负责该项目实施过程中的人身安全、财产安全、环境安全等一切安全责任。因项目实施过程中造成的直接或间接损失，均由供应商自行承担。（提供承诺函原件） </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宋体"/>
          <w:color w:val="auto"/>
          <w:sz w:val="28"/>
          <w:szCs w:val="28"/>
          <w:highlight w:val="none"/>
        </w:rPr>
        <w:t>★</w:t>
      </w:r>
      <w:r>
        <w:rPr>
          <w:rFonts w:hint="eastAsia" w:ascii="宋体" w:hAnsi="宋体" w:cs="仿宋"/>
          <w:color w:val="auto"/>
          <w:sz w:val="28"/>
          <w:szCs w:val="28"/>
          <w:highlight w:val="none"/>
        </w:rPr>
        <w:t xml:space="preserve">5、成交供应商因履行本合同所获得的一切原始资料、信息及相关工作成果属采购人所有，成交供应商负有保密义务。未经采购人书面同意，成交供应商不得在合同期内或合同履行完毕后以任何方式对外泄露或用于与本项目无关的其他任何事项。如因成交供应商过错导致采购人遭受损失的，成交供应商应承担全部赔偿责任。（提供承诺函原件） </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6、实施现场要求：本项目实施地现场情况由供应商自行踏勘，业主不组织现场踏勘，供应商如未踏勘，视为已了解现场情况。</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7、后期服务要求：在成果运用过程中，供应商应成立专门工作小组，在接到用户请求后，提供快捷、周到、规范的服务。</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宋体"/>
          <w:color w:val="auto"/>
          <w:sz w:val="28"/>
          <w:szCs w:val="28"/>
          <w:highlight w:val="none"/>
        </w:rPr>
        <w:t>★</w:t>
      </w:r>
      <w:r>
        <w:rPr>
          <w:rFonts w:hint="eastAsia" w:ascii="宋体" w:hAnsi="宋体" w:cs="仿宋"/>
          <w:color w:val="auto"/>
          <w:sz w:val="28"/>
          <w:szCs w:val="28"/>
          <w:highlight w:val="none"/>
        </w:rPr>
        <w:t>8、付款方式：供应商提交实施方案设计报告（审定稿）后7个工作日内采购人向成交人支付合同总额的40%，提交技施设计图纸及完成现场技术交底服务工作后7工作日内采购人向中标人支付合同总额的50%，工程完工验收合格后7工作日内采购人向中标人支付合同总额的10%。成交供应商须向采购人出具合法有效完整的完税发票及凭证资料进行支付结算。具体以合同约定为准。</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宋体"/>
          <w:color w:val="auto"/>
          <w:sz w:val="28"/>
          <w:szCs w:val="28"/>
          <w:highlight w:val="none"/>
        </w:rPr>
        <w:t>★</w:t>
      </w:r>
      <w:r>
        <w:rPr>
          <w:rFonts w:hint="eastAsia" w:ascii="宋体" w:hAnsi="宋体" w:cs="仿宋"/>
          <w:color w:val="auto"/>
          <w:sz w:val="28"/>
          <w:szCs w:val="28"/>
          <w:highlight w:val="none"/>
        </w:rPr>
        <w:t xml:space="preserve">9、供应商应保证所提供的服务或其任何一部分均不会侵犯任何第三方的专利权、商标权或著作权。采购人有权任意使用本项目涉及的相关知识产权，如有任何涉及知识产权的纠纷，均由供应商负全责。（提供承诺函原件） </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宋体"/>
          <w:color w:val="auto"/>
          <w:sz w:val="28"/>
          <w:szCs w:val="28"/>
          <w:highlight w:val="none"/>
        </w:rPr>
        <w:t>★</w:t>
      </w:r>
      <w:r>
        <w:rPr>
          <w:rFonts w:hint="eastAsia" w:ascii="宋体" w:hAnsi="宋体" w:cs="仿宋"/>
          <w:color w:val="auto"/>
          <w:sz w:val="28"/>
          <w:szCs w:val="28"/>
          <w:highlight w:val="none"/>
        </w:rPr>
        <w:t xml:space="preserve">10、供应商应完全依据合同履约，如采购人发现成交供应商在履约过程中，不能满足合同要求，采购人有权依据合同解除合同关系，所有损失均由成交供应商承担。（提供承诺函原件）  </w:t>
      </w:r>
    </w:p>
    <w:p>
      <w:pPr>
        <w:pStyle w:val="2"/>
        <w:snapToGrid w:val="0"/>
        <w:spacing w:line="360" w:lineRule="auto"/>
        <w:ind w:firstLine="495" w:firstLineChars="177"/>
        <w:rPr>
          <w:rFonts w:ascii="宋体" w:hAnsi="宋体" w:cs="仿宋"/>
          <w:color w:val="auto"/>
          <w:sz w:val="28"/>
          <w:szCs w:val="28"/>
          <w:highlight w:val="none"/>
        </w:rPr>
      </w:pPr>
      <w:r>
        <w:rPr>
          <w:rFonts w:hint="eastAsia" w:ascii="宋体" w:hAnsi="宋体" w:cs="仿宋"/>
          <w:color w:val="auto"/>
          <w:sz w:val="28"/>
          <w:szCs w:val="28"/>
          <w:highlight w:val="none"/>
        </w:rPr>
        <w:t>11、其他未尽事宜由采购人与成交供应商协商解决，并在合同中约定。</w:t>
      </w:r>
    </w:p>
    <w:p>
      <w:pPr>
        <w:spacing w:line="360" w:lineRule="auto"/>
        <w:rPr>
          <w:rFonts w:ascii="宋体" w:hAnsi="宋体" w:cs="仿宋"/>
          <w:color w:val="auto"/>
          <w:sz w:val="28"/>
          <w:szCs w:val="28"/>
          <w:highlight w:val="none"/>
        </w:rPr>
      </w:pPr>
    </w:p>
    <w:p>
      <w:pPr>
        <w:rPr>
          <w:rFonts w:ascii="宋体" w:hAnsi="宋体" w:cs="仿宋"/>
          <w:b/>
          <w:bCs/>
          <w:color w:val="auto"/>
          <w:sz w:val="28"/>
          <w:szCs w:val="28"/>
          <w:highlight w:val="none"/>
        </w:rPr>
      </w:pPr>
      <w:r>
        <w:rPr>
          <w:rFonts w:hint="eastAsia" w:ascii="宋体" w:hAnsi="宋体" w:cs="仿宋"/>
          <w:b/>
          <w:bCs/>
          <w:color w:val="auto"/>
          <w:sz w:val="28"/>
          <w:szCs w:val="28"/>
          <w:highlight w:val="none"/>
        </w:rPr>
        <w:t>注：本章带“</w:t>
      </w:r>
      <w:r>
        <w:rPr>
          <w:rFonts w:hint="eastAsia" w:ascii="宋体" w:hAnsi="宋体" w:cs="宋体"/>
          <w:color w:val="auto"/>
          <w:sz w:val="28"/>
          <w:szCs w:val="28"/>
          <w:highlight w:val="none"/>
        </w:rPr>
        <w:t>★</w:t>
      </w:r>
      <w:r>
        <w:rPr>
          <w:rFonts w:hint="eastAsia" w:ascii="宋体" w:hAnsi="宋体" w:cs="仿宋"/>
          <w:b/>
          <w:bCs/>
          <w:color w:val="auto"/>
          <w:sz w:val="28"/>
          <w:szCs w:val="28"/>
          <w:highlight w:val="none"/>
        </w:rPr>
        <w:t>”号条款为实质性要求，供应商若未满足的，将被视为无效响应。</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仿宋">
    <w:altName w:val="Arial Unicode MS"/>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6200A3"/>
    <w:multiLevelType w:val="singleLevel"/>
    <w:tmpl w:val="7A6200A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NjUxNGEyODI2ZWVlZGYwODczNDhjN2IwOWIxZjEifQ=="/>
  </w:docVars>
  <w:rsids>
    <w:rsidRoot w:val="62326C27"/>
    <w:rsid w:val="62326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6">
    <w:name w:val="List Paragraph"/>
    <w:basedOn w:val="1"/>
    <w:qFormat/>
    <w:uiPriority w:val="34"/>
    <w:pPr>
      <w:widowControl/>
      <w:spacing w:after="200" w:line="276" w:lineRule="auto"/>
      <w:ind w:firstLine="420" w:firstLineChars="200"/>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2023-08-23T01:32:00Z</dcterms:created>
  <dc:creator>石荣觅</dc:creator>
  <cp:lastModifiedBy>石荣觅</cp:lastModifiedBy>
  <dcterms:modified xsi:type="dcterms:W3CDTF">2023-08-23T01:32:50Z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F4AA4752FBA94C14A59282DDD49C7443_11</vt:lpwstr>
  </property>
</Properties>
</file>