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jc w:val="center"/>
        <w:rPr>
          <w:rFonts w:ascii="黑体" w:hAnsi="黑体" w:eastAsia="黑体" w:cs="黑体"/>
          <w:sz w:val="48"/>
          <w:szCs w:val="48"/>
          <w:highlight w:val="none"/>
          <w:u w:val="none"/>
          <w:lang w:val="zh-CN"/>
        </w:rPr>
      </w:pPr>
      <w:bookmarkStart w:id="0" w:name="_Toc24295"/>
      <w:bookmarkStart w:id="1" w:name="_Toc29796"/>
      <w:bookmarkStart w:id="2" w:name="_Toc22502"/>
      <w:r>
        <w:rPr>
          <w:rFonts w:hint="eastAsia" w:ascii="黑体" w:hAnsi="黑体" w:eastAsia="黑体" w:cs="黑体"/>
          <w:sz w:val="48"/>
          <w:szCs w:val="48"/>
          <w:highlight w:val="none"/>
          <w:u w:val="none"/>
          <w:lang w:val="zh-CN"/>
        </w:rPr>
        <w:t>四川省都江堰水利发展中心</w:t>
      </w:r>
      <w:bookmarkEnd w:id="0"/>
      <w:bookmarkEnd w:id="1"/>
    </w:p>
    <w:p>
      <w:pPr>
        <w:jc w:val="center"/>
        <w:rPr>
          <w:rFonts w:hint="eastAsia" w:ascii="黑体" w:hAnsi="黑体" w:eastAsia="黑体" w:cs="黑体"/>
          <w:sz w:val="48"/>
          <w:szCs w:val="48"/>
          <w:highlight w:val="none"/>
          <w:u w:val="none"/>
          <w:lang w:val="en-US" w:eastAsia="zh-CN"/>
        </w:rPr>
      </w:pPr>
      <w:bookmarkStart w:id="3" w:name="_Toc12656"/>
      <w:bookmarkStart w:id="4" w:name="_Toc5123"/>
      <w:r>
        <w:rPr>
          <w:rFonts w:hint="eastAsia" w:ascii="黑体" w:hAnsi="黑体" w:eastAsia="黑体" w:cs="黑体"/>
          <w:sz w:val="48"/>
          <w:szCs w:val="48"/>
          <w:highlight w:val="none"/>
          <w:u w:val="none"/>
          <w:lang w:val="zh-CN"/>
        </w:rPr>
        <w:t>人民渠第一管理处</w:t>
      </w:r>
      <w:r>
        <w:rPr>
          <w:rFonts w:hint="eastAsia" w:ascii="黑体" w:hAnsi="黑体" w:eastAsia="黑体" w:cs="黑体"/>
          <w:sz w:val="48"/>
          <w:szCs w:val="48"/>
          <w:highlight w:val="none"/>
          <w:u w:val="none"/>
          <w:lang w:val="en-US" w:eastAsia="zh-CN"/>
        </w:rPr>
        <w:t>处属各水利管理站</w:t>
      </w:r>
    </w:p>
    <w:p>
      <w:pPr>
        <w:jc w:val="center"/>
        <w:rPr>
          <w:rFonts w:hint="eastAsia" w:ascii="黑体" w:hAnsi="黑体" w:eastAsia="黑体" w:cs="黑体"/>
          <w:sz w:val="48"/>
          <w:szCs w:val="48"/>
          <w:highlight w:val="none"/>
          <w:u w:val="none"/>
          <w:lang w:val="zh-CN"/>
        </w:rPr>
      </w:pPr>
      <w:r>
        <w:rPr>
          <w:rFonts w:hint="eastAsia" w:ascii="黑体" w:hAnsi="黑体" w:eastAsia="黑体" w:cs="黑体"/>
          <w:sz w:val="48"/>
          <w:szCs w:val="48"/>
          <w:highlight w:val="none"/>
          <w:u w:val="none"/>
          <w:lang w:val="en-US" w:eastAsia="zh-CN"/>
        </w:rPr>
        <w:t>标识标牌</w:t>
      </w:r>
      <w:r>
        <w:rPr>
          <w:rFonts w:hint="eastAsia" w:ascii="黑体" w:hAnsi="黑体" w:eastAsia="黑体" w:cs="黑体"/>
          <w:sz w:val="48"/>
          <w:szCs w:val="48"/>
          <w:highlight w:val="none"/>
          <w:u w:val="none"/>
          <w:lang w:val="zh-CN"/>
        </w:rPr>
        <w:t>采购项目</w:t>
      </w:r>
      <w:bookmarkEnd w:id="2"/>
      <w:bookmarkEnd w:id="3"/>
      <w:bookmarkEnd w:id="4"/>
    </w:p>
    <w:p>
      <w:pPr>
        <w:spacing w:line="560" w:lineRule="exact"/>
        <w:rPr>
          <w:rFonts w:eastAsia="黑体"/>
          <w:bCs/>
          <w:color w:val="000000" w:themeColor="text1"/>
          <w:sz w:val="52"/>
          <w:szCs w:val="52"/>
          <w14:textFill>
            <w14:solidFill>
              <w14:schemeClr w14:val="tx1"/>
            </w14:solidFill>
          </w14:textFill>
        </w:rPr>
      </w:pPr>
    </w:p>
    <w:p>
      <w:pPr>
        <w:widowControl/>
        <w:spacing w:line="560" w:lineRule="exact"/>
        <w:jc w:val="center"/>
        <w:rPr>
          <w:rFonts w:ascii="黑体" w:hAnsi="黑体" w:eastAsia="黑体" w:cs="黑体"/>
          <w:sz w:val="52"/>
          <w:szCs w:val="52"/>
          <w:lang w:val="zh-CN"/>
        </w:rPr>
      </w:pPr>
      <w:bookmarkStart w:id="5" w:name="_Toc20325"/>
      <w:bookmarkStart w:id="6" w:name="_Toc28898"/>
      <w:bookmarkStart w:id="7" w:name="_Toc21012"/>
      <w:r>
        <w:rPr>
          <w:rFonts w:hint="eastAsia" w:ascii="黑体" w:hAnsi="黑体" w:eastAsia="黑体" w:cs="黑体"/>
          <w:sz w:val="52"/>
          <w:szCs w:val="52"/>
          <w:lang w:val="zh-CN"/>
        </w:rPr>
        <w:t>竞</w:t>
      </w:r>
      <w:bookmarkEnd w:id="5"/>
      <w:bookmarkEnd w:id="6"/>
      <w:bookmarkEnd w:id="7"/>
    </w:p>
    <w:p>
      <w:pPr>
        <w:widowControl/>
        <w:spacing w:line="560" w:lineRule="exact"/>
        <w:jc w:val="center"/>
        <w:rPr>
          <w:rFonts w:ascii="黑体" w:hAnsi="黑体" w:eastAsia="黑体" w:cs="黑体"/>
          <w:sz w:val="52"/>
          <w:szCs w:val="52"/>
          <w:lang w:val="zh-CN"/>
        </w:rPr>
      </w:pPr>
    </w:p>
    <w:p>
      <w:pPr>
        <w:widowControl/>
        <w:spacing w:line="560" w:lineRule="exact"/>
        <w:jc w:val="center"/>
        <w:rPr>
          <w:rFonts w:ascii="黑体" w:hAnsi="黑体" w:eastAsia="黑体" w:cs="黑体"/>
          <w:sz w:val="52"/>
          <w:szCs w:val="52"/>
          <w:lang w:val="zh-CN"/>
        </w:rPr>
      </w:pPr>
      <w:bookmarkStart w:id="8" w:name="_Toc25223"/>
      <w:bookmarkStart w:id="9" w:name="_Toc19322"/>
      <w:bookmarkStart w:id="10" w:name="_Toc15767"/>
      <w:r>
        <w:rPr>
          <w:rFonts w:hint="eastAsia" w:ascii="黑体" w:hAnsi="黑体" w:eastAsia="黑体" w:cs="黑体"/>
          <w:sz w:val="52"/>
          <w:szCs w:val="52"/>
          <w:lang w:val="zh-CN"/>
        </w:rPr>
        <w:t>争</w:t>
      </w:r>
      <w:bookmarkEnd w:id="8"/>
      <w:bookmarkEnd w:id="9"/>
      <w:bookmarkEnd w:id="10"/>
    </w:p>
    <w:p>
      <w:pPr>
        <w:widowControl/>
        <w:spacing w:line="560" w:lineRule="exact"/>
        <w:jc w:val="center"/>
        <w:rPr>
          <w:rFonts w:ascii="黑体" w:hAnsi="黑体" w:eastAsia="黑体" w:cs="黑体"/>
          <w:sz w:val="52"/>
          <w:szCs w:val="52"/>
          <w:lang w:val="zh-CN"/>
        </w:rPr>
      </w:pPr>
    </w:p>
    <w:p>
      <w:pPr>
        <w:widowControl/>
        <w:spacing w:line="560" w:lineRule="exact"/>
        <w:jc w:val="center"/>
        <w:rPr>
          <w:rFonts w:ascii="黑体" w:hAnsi="黑体" w:eastAsia="黑体" w:cs="黑体"/>
          <w:sz w:val="52"/>
          <w:szCs w:val="52"/>
          <w:lang w:val="zh-CN"/>
        </w:rPr>
      </w:pPr>
      <w:bookmarkStart w:id="11" w:name="_Toc6414"/>
      <w:bookmarkStart w:id="12" w:name="_Toc15044"/>
      <w:bookmarkStart w:id="13" w:name="_Toc20120"/>
      <w:r>
        <w:rPr>
          <w:rFonts w:hint="eastAsia" w:ascii="黑体" w:hAnsi="黑体" w:eastAsia="黑体" w:cs="黑体"/>
          <w:sz w:val="52"/>
          <w:szCs w:val="52"/>
          <w:lang w:val="zh-CN"/>
        </w:rPr>
        <w:t>性</w:t>
      </w:r>
      <w:bookmarkEnd w:id="11"/>
      <w:bookmarkEnd w:id="12"/>
      <w:bookmarkEnd w:id="13"/>
    </w:p>
    <w:p>
      <w:pPr>
        <w:widowControl/>
        <w:spacing w:line="560" w:lineRule="exact"/>
        <w:jc w:val="center"/>
        <w:rPr>
          <w:rFonts w:ascii="黑体" w:hAnsi="黑体" w:eastAsia="黑体" w:cs="黑体"/>
          <w:sz w:val="52"/>
          <w:szCs w:val="52"/>
          <w:lang w:val="zh-CN"/>
        </w:rPr>
      </w:pPr>
    </w:p>
    <w:p>
      <w:pPr>
        <w:widowControl/>
        <w:spacing w:line="560" w:lineRule="exact"/>
        <w:jc w:val="center"/>
        <w:rPr>
          <w:rFonts w:ascii="黑体" w:hAnsi="黑体" w:eastAsia="黑体" w:cs="黑体"/>
          <w:sz w:val="52"/>
          <w:szCs w:val="52"/>
          <w:lang w:val="zh-CN"/>
        </w:rPr>
      </w:pPr>
      <w:r>
        <w:rPr>
          <w:rFonts w:hint="eastAsia" w:ascii="黑体" w:hAnsi="黑体" w:eastAsia="黑体" w:cs="黑体"/>
          <w:sz w:val="52"/>
          <w:szCs w:val="52"/>
          <w:lang w:val="zh-CN"/>
        </w:rPr>
        <w:t>谈</w:t>
      </w:r>
    </w:p>
    <w:p>
      <w:pPr>
        <w:widowControl/>
        <w:spacing w:line="560" w:lineRule="exact"/>
        <w:jc w:val="center"/>
        <w:rPr>
          <w:rFonts w:ascii="黑体" w:hAnsi="黑体" w:eastAsia="黑体" w:cs="黑体"/>
          <w:sz w:val="52"/>
          <w:szCs w:val="52"/>
          <w:lang w:val="zh-CN"/>
        </w:rPr>
      </w:pPr>
    </w:p>
    <w:p>
      <w:pPr>
        <w:widowControl/>
        <w:spacing w:line="560" w:lineRule="exact"/>
        <w:jc w:val="center"/>
        <w:rPr>
          <w:rFonts w:ascii="黑体" w:hAnsi="黑体" w:eastAsia="黑体" w:cs="黑体"/>
          <w:sz w:val="52"/>
          <w:szCs w:val="52"/>
          <w:lang w:val="zh-CN"/>
        </w:rPr>
      </w:pPr>
      <w:r>
        <w:rPr>
          <w:rFonts w:hint="eastAsia" w:ascii="黑体" w:hAnsi="黑体" w:eastAsia="黑体" w:cs="黑体"/>
          <w:sz w:val="52"/>
          <w:szCs w:val="52"/>
          <w:lang w:val="zh-CN"/>
        </w:rPr>
        <w:t>判</w:t>
      </w:r>
    </w:p>
    <w:p>
      <w:pPr>
        <w:widowControl/>
        <w:spacing w:line="560" w:lineRule="exact"/>
        <w:jc w:val="center"/>
        <w:rPr>
          <w:rFonts w:ascii="黑体" w:hAnsi="黑体" w:eastAsia="黑体" w:cs="黑体"/>
          <w:sz w:val="52"/>
          <w:szCs w:val="52"/>
          <w:lang w:val="zh-CN"/>
        </w:rPr>
      </w:pPr>
    </w:p>
    <w:p>
      <w:pPr>
        <w:widowControl/>
        <w:spacing w:line="560" w:lineRule="exact"/>
        <w:jc w:val="center"/>
        <w:rPr>
          <w:rFonts w:ascii="黑体" w:hAnsi="黑体" w:eastAsia="黑体" w:cs="黑体"/>
          <w:sz w:val="52"/>
          <w:szCs w:val="52"/>
          <w:lang w:val="zh-CN"/>
        </w:rPr>
      </w:pPr>
      <w:bookmarkStart w:id="14" w:name="_Toc1120"/>
      <w:bookmarkStart w:id="15" w:name="_Toc26501"/>
      <w:bookmarkStart w:id="16" w:name="_Toc30481"/>
      <w:r>
        <w:rPr>
          <w:rFonts w:hint="eastAsia" w:ascii="黑体" w:hAnsi="黑体" w:eastAsia="黑体" w:cs="黑体"/>
          <w:sz w:val="52"/>
          <w:szCs w:val="52"/>
          <w:lang w:val="zh-CN"/>
        </w:rPr>
        <w:t>文</w:t>
      </w:r>
      <w:bookmarkEnd w:id="14"/>
      <w:bookmarkEnd w:id="15"/>
      <w:bookmarkEnd w:id="16"/>
    </w:p>
    <w:p>
      <w:pPr>
        <w:widowControl/>
        <w:spacing w:line="560" w:lineRule="exact"/>
        <w:jc w:val="center"/>
        <w:rPr>
          <w:rFonts w:ascii="黑体" w:hAnsi="黑体" w:eastAsia="黑体" w:cs="黑体"/>
          <w:sz w:val="52"/>
          <w:szCs w:val="52"/>
          <w:lang w:val="zh-CN"/>
        </w:rPr>
      </w:pPr>
    </w:p>
    <w:p>
      <w:pPr>
        <w:widowControl/>
        <w:spacing w:line="560" w:lineRule="exact"/>
        <w:jc w:val="center"/>
        <w:rPr>
          <w:rFonts w:ascii="黑体" w:hAnsi="黑体" w:eastAsia="黑体" w:cs="黑体"/>
          <w:sz w:val="52"/>
          <w:szCs w:val="52"/>
          <w:lang w:val="zh-CN"/>
        </w:rPr>
      </w:pPr>
      <w:bookmarkStart w:id="17" w:name="_Toc9092"/>
      <w:bookmarkStart w:id="18" w:name="_Toc11645"/>
      <w:bookmarkStart w:id="19" w:name="_Toc10721"/>
      <w:r>
        <w:rPr>
          <w:rFonts w:hint="eastAsia" w:ascii="黑体" w:hAnsi="黑体" w:eastAsia="黑体" w:cs="黑体"/>
          <w:sz w:val="52"/>
          <w:szCs w:val="52"/>
          <w:lang w:val="zh-CN"/>
        </w:rPr>
        <w:t>件</w:t>
      </w:r>
      <w:bookmarkEnd w:id="17"/>
      <w:bookmarkEnd w:id="18"/>
      <w:bookmarkEnd w:id="19"/>
    </w:p>
    <w:p>
      <w:pPr>
        <w:widowControl/>
        <w:spacing w:line="560" w:lineRule="exact"/>
        <w:jc w:val="center"/>
        <w:rPr>
          <w:rFonts w:ascii="黑体" w:hAnsi="黑体" w:eastAsia="黑体" w:cs="黑体"/>
          <w:sz w:val="52"/>
          <w:szCs w:val="52"/>
          <w:lang w:val="zh-CN"/>
        </w:rPr>
      </w:pPr>
    </w:p>
    <w:p>
      <w:pPr>
        <w:widowControl/>
        <w:spacing w:line="560" w:lineRule="exact"/>
        <w:jc w:val="center"/>
        <w:rPr>
          <w:rFonts w:ascii="黑体" w:hAnsi="黑体" w:eastAsia="黑体" w:cs="黑体"/>
          <w:sz w:val="52"/>
          <w:szCs w:val="52"/>
          <w:lang w:val="zh-CN"/>
        </w:rPr>
      </w:pPr>
    </w:p>
    <w:p>
      <w:pPr>
        <w:spacing w:line="560" w:lineRule="exact"/>
        <w:jc w:val="center"/>
        <w:rPr>
          <w:rFonts w:hint="eastAsia" w:eastAsia="仿宋_GB2312"/>
          <w:sz w:val="32"/>
          <w:szCs w:val="32"/>
          <w:lang w:val="zh-CN"/>
        </w:rPr>
      </w:pPr>
      <w:bookmarkStart w:id="20" w:name="_Toc13427"/>
      <w:bookmarkStart w:id="21" w:name="_Toc25465"/>
      <w:bookmarkStart w:id="22" w:name="_Toc25382"/>
      <w:r>
        <w:rPr>
          <w:rFonts w:hint="eastAsia" w:eastAsia="仿宋_GB2312"/>
          <w:sz w:val="32"/>
          <w:szCs w:val="32"/>
          <w:lang w:val="zh-CN"/>
        </w:rPr>
        <w:t>四川省都江堰水利发展中心</w:t>
      </w:r>
      <w:bookmarkEnd w:id="20"/>
      <w:bookmarkEnd w:id="21"/>
      <w:bookmarkEnd w:id="22"/>
    </w:p>
    <w:p>
      <w:pPr>
        <w:spacing w:line="560" w:lineRule="exact"/>
        <w:jc w:val="center"/>
        <w:rPr>
          <w:rFonts w:eastAsia="仿宋_GB2312"/>
          <w:sz w:val="32"/>
          <w:szCs w:val="32"/>
          <w:highlight w:val="none"/>
          <w:u w:val="none"/>
          <w:lang w:val="zh-CN"/>
        </w:rPr>
      </w:pPr>
      <w:r>
        <w:rPr>
          <w:rFonts w:eastAsia="仿宋_GB2312"/>
          <w:sz w:val="32"/>
          <w:szCs w:val="32"/>
          <w:highlight w:val="none"/>
          <w:u w:val="none"/>
          <w:lang w:val="zh-CN"/>
        </w:rPr>
        <w:t>2023</w:t>
      </w:r>
      <w:r>
        <w:rPr>
          <w:rFonts w:hint="eastAsia" w:eastAsia="仿宋_GB2312"/>
          <w:sz w:val="32"/>
          <w:szCs w:val="32"/>
          <w:highlight w:val="none"/>
          <w:u w:val="none"/>
          <w:lang w:val="zh-CN"/>
        </w:rPr>
        <w:t>年</w:t>
      </w:r>
      <w:bookmarkStart w:id="23" w:name="目____录"/>
      <w:bookmarkEnd w:id="23"/>
      <w:r>
        <w:rPr>
          <w:rFonts w:hint="eastAsia" w:eastAsia="仿宋_GB2312"/>
          <w:sz w:val="32"/>
          <w:szCs w:val="32"/>
          <w:highlight w:val="none"/>
          <w:u w:val="none"/>
          <w:lang w:val="en-US" w:eastAsia="zh-CN"/>
        </w:rPr>
        <w:t>9</w:t>
      </w:r>
      <w:r>
        <w:rPr>
          <w:rFonts w:hint="eastAsia" w:eastAsia="仿宋_GB2312"/>
          <w:sz w:val="32"/>
          <w:szCs w:val="32"/>
          <w:highlight w:val="none"/>
          <w:u w:val="none"/>
          <w:lang w:val="zh-CN"/>
        </w:rPr>
        <w:t>月</w:t>
      </w:r>
      <w:r>
        <w:rPr>
          <w:rFonts w:hint="eastAsia" w:eastAsia="仿宋_GB2312"/>
          <w:sz w:val="32"/>
          <w:szCs w:val="32"/>
          <w:highlight w:val="none"/>
          <w:u w:val="none"/>
          <w:lang w:val="en-US" w:eastAsia="zh-CN"/>
        </w:rPr>
        <w:t>22</w:t>
      </w:r>
      <w:r>
        <w:rPr>
          <w:rFonts w:hint="eastAsia" w:eastAsia="仿宋_GB2312"/>
          <w:sz w:val="32"/>
          <w:szCs w:val="32"/>
          <w:highlight w:val="none"/>
          <w:u w:val="none"/>
          <w:lang w:val="zh-CN"/>
        </w:rPr>
        <w:t>日</w:t>
      </w:r>
    </w:p>
    <w:p>
      <w:pPr>
        <w:pStyle w:val="3"/>
      </w:pPr>
    </w:p>
    <w:p>
      <w:pPr>
        <w:pStyle w:val="3"/>
        <w:rPr>
          <w:rFonts w:hint="eastAsia"/>
        </w:rPr>
      </w:pPr>
      <w:bookmarkStart w:id="24" w:name="_Toc28775"/>
      <w:bookmarkStart w:id="25" w:name="_Toc22645"/>
      <w:bookmarkStart w:id="26" w:name="_Toc41037902"/>
      <w:bookmarkStart w:id="27" w:name="_Toc509579140"/>
      <w:bookmarkStart w:id="28" w:name="_Toc4559"/>
    </w:p>
    <w:p>
      <w:pPr>
        <w:pStyle w:val="3"/>
      </w:pPr>
      <w:r>
        <w:rPr>
          <w:rFonts w:hint="eastAsia"/>
        </w:rPr>
        <w:t xml:space="preserve">第一章 </w:t>
      </w:r>
      <w:bookmarkEnd w:id="24"/>
      <w:bookmarkEnd w:id="25"/>
      <w:bookmarkEnd w:id="26"/>
      <w:bookmarkEnd w:id="27"/>
      <w:bookmarkEnd w:id="28"/>
      <w:r>
        <w:rPr>
          <w:rFonts w:hint="eastAsia"/>
        </w:rPr>
        <w:t>采购公告</w:t>
      </w:r>
    </w:p>
    <w:p>
      <w:pPr>
        <w:spacing w:line="560" w:lineRule="exact"/>
        <w:jc w:val="left"/>
        <w:rPr>
          <w:rFonts w:eastAsia="仿宋_GB2312"/>
          <w:sz w:val="32"/>
          <w:szCs w:val="32"/>
        </w:rPr>
      </w:pPr>
    </w:p>
    <w:p>
      <w:pPr>
        <w:spacing w:line="560" w:lineRule="exact"/>
        <w:ind w:firstLine="640" w:firstLineChars="200"/>
        <w:jc w:val="left"/>
        <w:rPr>
          <w:rFonts w:eastAsia="仿宋_GB2312"/>
          <w:sz w:val="32"/>
          <w:szCs w:val="32"/>
        </w:rPr>
      </w:pPr>
      <w:bookmarkStart w:id="29" w:name="PO_默认文件内容_1"/>
      <w:r>
        <w:rPr>
          <w:rFonts w:eastAsia="仿宋_GB2312"/>
          <w:sz w:val="32"/>
          <w:szCs w:val="32"/>
          <w:highlight w:val="none"/>
          <w:u w:val="none"/>
        </w:rPr>
        <w:t>四川省都江堰水利发展中心拟对</w:t>
      </w:r>
      <w:r>
        <w:rPr>
          <w:rFonts w:hint="eastAsia" w:eastAsia="仿宋_GB2312"/>
          <w:sz w:val="32"/>
          <w:szCs w:val="32"/>
          <w:highlight w:val="none"/>
          <w:u w:val="none"/>
          <w:lang w:val="en-US" w:eastAsia="zh-CN"/>
        </w:rPr>
        <w:t>四川省都江堰水利发展中心</w:t>
      </w:r>
      <w:r>
        <w:rPr>
          <w:rFonts w:hint="eastAsia" w:eastAsia="仿宋_GB2312"/>
          <w:sz w:val="32"/>
          <w:szCs w:val="32"/>
          <w:highlight w:val="none"/>
          <w:u w:val="none"/>
        </w:rPr>
        <w:t>人民渠第一管理处</w:t>
      </w:r>
      <w:r>
        <w:rPr>
          <w:rFonts w:hint="eastAsia" w:eastAsia="仿宋_GB2312"/>
          <w:sz w:val="32"/>
          <w:szCs w:val="32"/>
          <w:highlight w:val="none"/>
          <w:u w:val="none"/>
          <w:lang w:val="en-US" w:eastAsia="zh-CN"/>
        </w:rPr>
        <w:t>处属各水利管理站标识标牌采购</w:t>
      </w:r>
      <w:r>
        <w:rPr>
          <w:rFonts w:eastAsia="仿宋_GB2312"/>
          <w:sz w:val="32"/>
          <w:szCs w:val="32"/>
          <w:highlight w:val="none"/>
          <w:u w:val="none"/>
        </w:rPr>
        <w:t>项目采用竞争性谈判</w:t>
      </w:r>
      <w:r>
        <w:rPr>
          <w:rFonts w:hint="eastAsia" w:eastAsia="仿宋_GB2312"/>
          <w:sz w:val="32"/>
          <w:szCs w:val="32"/>
          <w:highlight w:val="none"/>
          <w:u w:val="none"/>
          <w:lang w:val="en-US" w:eastAsia="zh-CN"/>
        </w:rPr>
        <w:t>方式进行采购</w:t>
      </w:r>
      <w:r>
        <w:rPr>
          <w:rFonts w:eastAsia="仿宋_GB2312"/>
          <w:sz w:val="32"/>
          <w:szCs w:val="32"/>
        </w:rPr>
        <w:t>，兹邀请符合本次采购要求的供应商参加本次采购。</w:t>
      </w:r>
      <w:bookmarkEnd w:id="29"/>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1.项目基本情况</w:t>
      </w:r>
    </w:p>
    <w:p>
      <w:pPr>
        <w:spacing w:line="560" w:lineRule="exact"/>
        <w:ind w:firstLine="643" w:firstLineChars="200"/>
        <w:rPr>
          <w:rFonts w:eastAsia="仿宋_GB2312"/>
          <w:sz w:val="32"/>
          <w:szCs w:val="32"/>
          <w:u w:val="single"/>
        </w:rPr>
      </w:pPr>
      <w:r>
        <w:rPr>
          <w:rFonts w:eastAsia="仿宋_GB2312"/>
          <w:b/>
          <w:bCs/>
          <w:sz w:val="32"/>
          <w:szCs w:val="32"/>
        </w:rPr>
        <w:t>1.1</w:t>
      </w:r>
      <w:r>
        <w:rPr>
          <w:rFonts w:hint="eastAsia" w:eastAsia="仿宋_GB2312"/>
          <w:b/>
          <w:bCs/>
          <w:sz w:val="32"/>
          <w:szCs w:val="32"/>
        </w:rPr>
        <w:t>采购项目名称</w:t>
      </w:r>
      <w:r>
        <w:rPr>
          <w:rFonts w:hint="eastAsia" w:eastAsia="仿宋_GB2312"/>
          <w:sz w:val="32"/>
          <w:szCs w:val="32"/>
        </w:rPr>
        <w:t>：</w:t>
      </w:r>
      <w:r>
        <w:rPr>
          <w:rFonts w:hint="eastAsia" w:eastAsia="仿宋_GB2312"/>
          <w:sz w:val="32"/>
          <w:szCs w:val="32"/>
          <w:u w:val="single"/>
        </w:rPr>
        <w:t xml:space="preserve"> </w:t>
      </w:r>
      <w:r>
        <w:rPr>
          <w:rFonts w:hint="eastAsia" w:eastAsia="仿宋_GB2312"/>
          <w:sz w:val="32"/>
          <w:szCs w:val="32"/>
          <w:u w:val="single"/>
          <w:lang w:val="en-US" w:eastAsia="zh-CN"/>
        </w:rPr>
        <w:t>四川省</w:t>
      </w:r>
      <w:r>
        <w:rPr>
          <w:rFonts w:hint="eastAsia" w:eastAsia="仿宋_GB2312"/>
          <w:sz w:val="32"/>
          <w:szCs w:val="32"/>
          <w:u w:val="single"/>
        </w:rPr>
        <w:t>都江堰</w:t>
      </w:r>
      <w:r>
        <w:rPr>
          <w:rFonts w:hint="eastAsia" w:eastAsia="仿宋_GB2312"/>
          <w:sz w:val="32"/>
          <w:szCs w:val="32"/>
          <w:u w:val="single"/>
          <w:lang w:val="en-US" w:eastAsia="zh-CN"/>
        </w:rPr>
        <w:t>水利发展中心</w:t>
      </w:r>
      <w:r>
        <w:rPr>
          <w:rFonts w:hint="eastAsia" w:eastAsia="仿宋_GB2312"/>
          <w:sz w:val="32"/>
          <w:szCs w:val="32"/>
          <w:u w:val="single"/>
        </w:rPr>
        <w:t>人民渠第一管理处</w:t>
      </w:r>
      <w:r>
        <w:rPr>
          <w:rFonts w:hint="eastAsia" w:eastAsia="仿宋_GB2312"/>
          <w:sz w:val="32"/>
          <w:szCs w:val="32"/>
          <w:u w:val="single"/>
          <w:lang w:val="en-US" w:eastAsia="zh-CN"/>
        </w:rPr>
        <w:t>处属各水利管理站标识标牌采购</w:t>
      </w:r>
      <w:r>
        <w:rPr>
          <w:rFonts w:hint="eastAsia" w:eastAsia="仿宋_GB2312"/>
          <w:sz w:val="32"/>
          <w:szCs w:val="32"/>
          <w:u w:val="single"/>
        </w:rPr>
        <w:t>项目；</w:t>
      </w:r>
    </w:p>
    <w:p>
      <w:pPr>
        <w:spacing w:line="560" w:lineRule="exact"/>
        <w:ind w:firstLine="643" w:firstLineChars="200"/>
        <w:rPr>
          <w:rFonts w:eastAsia="仿宋_GB2312"/>
          <w:sz w:val="32"/>
          <w:szCs w:val="32"/>
        </w:rPr>
      </w:pPr>
      <w:r>
        <w:rPr>
          <w:rFonts w:eastAsia="仿宋_GB2312"/>
          <w:b/>
          <w:bCs/>
          <w:sz w:val="32"/>
          <w:szCs w:val="32"/>
        </w:rPr>
        <w:t>1.2</w:t>
      </w:r>
      <w:r>
        <w:rPr>
          <w:rFonts w:hint="eastAsia" w:eastAsia="仿宋_GB2312"/>
          <w:b/>
          <w:bCs/>
          <w:sz w:val="32"/>
          <w:szCs w:val="32"/>
        </w:rPr>
        <w:t>采购项目编号</w:t>
      </w:r>
      <w:r>
        <w:rPr>
          <w:rFonts w:hint="eastAsia" w:eastAsia="仿宋_GB2312"/>
          <w:sz w:val="32"/>
          <w:szCs w:val="32"/>
        </w:rPr>
        <w:t>：</w:t>
      </w:r>
      <w:r>
        <w:rPr>
          <w:rFonts w:eastAsia="仿宋_GB2312"/>
          <w:sz w:val="32"/>
          <w:szCs w:val="32"/>
          <w:highlight w:val="none"/>
          <w:u w:val="single"/>
        </w:rPr>
        <w:t xml:space="preserve"> </w:t>
      </w:r>
      <w:r>
        <w:rPr>
          <w:rFonts w:hint="eastAsia" w:eastAsia="仿宋_GB2312"/>
          <w:sz w:val="32"/>
          <w:szCs w:val="32"/>
          <w:highlight w:val="none"/>
          <w:u w:val="single"/>
        </w:rPr>
        <w:t xml:space="preserve">    </w:t>
      </w:r>
      <w:r>
        <w:rPr>
          <w:rFonts w:hint="eastAsia" w:eastAsia="仿宋_GB2312"/>
          <w:sz w:val="32"/>
          <w:szCs w:val="32"/>
          <w:highlight w:val="none"/>
          <w:u w:val="single"/>
          <w:lang w:val="en-US" w:eastAsia="zh-CN"/>
        </w:rPr>
        <w:t>/</w:t>
      </w:r>
      <w:r>
        <w:rPr>
          <w:rFonts w:hint="eastAsia" w:eastAsia="仿宋_GB2312"/>
          <w:sz w:val="32"/>
          <w:szCs w:val="32"/>
          <w:highlight w:val="none"/>
          <w:u w:val="single"/>
        </w:rPr>
        <w:t xml:space="preserve">     </w:t>
      </w:r>
      <w:r>
        <w:rPr>
          <w:rFonts w:hint="eastAsia" w:eastAsia="仿宋_GB2312"/>
          <w:sz w:val="32"/>
          <w:szCs w:val="32"/>
        </w:rPr>
        <w:t>；</w:t>
      </w:r>
    </w:p>
    <w:p>
      <w:pPr>
        <w:spacing w:line="560" w:lineRule="exact"/>
        <w:ind w:firstLine="643" w:firstLineChars="200"/>
        <w:rPr>
          <w:rFonts w:eastAsia="仿宋_GB2312"/>
          <w:sz w:val="32"/>
          <w:szCs w:val="32"/>
        </w:rPr>
      </w:pPr>
      <w:r>
        <w:rPr>
          <w:rFonts w:eastAsia="仿宋_GB2312"/>
          <w:b/>
          <w:bCs/>
          <w:sz w:val="32"/>
          <w:szCs w:val="32"/>
        </w:rPr>
        <w:t>1.3</w:t>
      </w:r>
      <w:r>
        <w:rPr>
          <w:rFonts w:hint="eastAsia" w:eastAsia="仿宋_GB2312"/>
          <w:b/>
          <w:bCs/>
          <w:sz w:val="32"/>
          <w:szCs w:val="32"/>
        </w:rPr>
        <w:t>采购人</w:t>
      </w:r>
      <w:r>
        <w:rPr>
          <w:rFonts w:hint="eastAsia" w:eastAsia="仿宋_GB2312"/>
          <w:sz w:val="32"/>
          <w:szCs w:val="32"/>
        </w:rPr>
        <w:t>：四川省都江堰水利发展中心</w:t>
      </w:r>
    </w:p>
    <w:p>
      <w:pPr>
        <w:spacing w:line="560" w:lineRule="exact"/>
        <w:ind w:firstLine="640" w:firstLineChars="200"/>
        <w:rPr>
          <w:rFonts w:hint="eastAsia" w:ascii="黑体" w:hAnsi="黑体" w:eastAsia="黑体" w:cs="黑体"/>
          <w:sz w:val="32"/>
          <w:szCs w:val="32"/>
          <w:lang w:val="en-US" w:eastAsia="zh-CN"/>
        </w:rPr>
      </w:pPr>
      <w:r>
        <w:rPr>
          <w:rFonts w:ascii="黑体" w:hAnsi="黑体" w:eastAsia="黑体" w:cs="黑体"/>
          <w:sz w:val="32"/>
          <w:szCs w:val="32"/>
        </w:rPr>
        <w:t>2.</w:t>
      </w:r>
      <w:r>
        <w:rPr>
          <w:rFonts w:hint="eastAsia" w:ascii="黑体" w:hAnsi="黑体" w:eastAsia="黑体" w:cs="黑体"/>
          <w:sz w:val="32"/>
          <w:szCs w:val="32"/>
        </w:rPr>
        <w:t>资金</w:t>
      </w:r>
      <w:r>
        <w:rPr>
          <w:rFonts w:hint="eastAsia" w:ascii="黑体" w:hAnsi="黑体" w:eastAsia="黑体" w:cs="黑体"/>
          <w:sz w:val="32"/>
          <w:szCs w:val="32"/>
          <w:lang w:val="en-US" w:eastAsia="zh-CN"/>
        </w:rPr>
        <w:t>情况</w:t>
      </w:r>
    </w:p>
    <w:p>
      <w:pPr>
        <w:spacing w:line="560" w:lineRule="exact"/>
        <w:ind w:firstLine="643" w:firstLineChars="200"/>
        <w:rPr>
          <w:rFonts w:eastAsia="仿宋_GB2312"/>
          <w:sz w:val="32"/>
          <w:szCs w:val="32"/>
        </w:rPr>
      </w:pPr>
      <w:r>
        <w:rPr>
          <w:rFonts w:hint="eastAsia" w:eastAsia="仿宋_GB2312"/>
          <w:b/>
          <w:bCs/>
          <w:sz w:val="32"/>
          <w:szCs w:val="32"/>
        </w:rPr>
        <w:t>2</w:t>
      </w:r>
      <w:r>
        <w:rPr>
          <w:rFonts w:eastAsia="仿宋_GB2312"/>
          <w:b/>
          <w:bCs/>
          <w:sz w:val="32"/>
          <w:szCs w:val="32"/>
        </w:rPr>
        <w:t>.1</w:t>
      </w:r>
      <w:r>
        <w:rPr>
          <w:rFonts w:hint="eastAsia" w:eastAsia="仿宋_GB2312"/>
          <w:b/>
          <w:bCs/>
          <w:sz w:val="32"/>
          <w:szCs w:val="32"/>
        </w:rPr>
        <w:t>资金来源</w:t>
      </w:r>
      <w:r>
        <w:rPr>
          <w:rFonts w:hint="eastAsia" w:eastAsia="仿宋_GB2312"/>
          <w:sz w:val="32"/>
          <w:szCs w:val="32"/>
        </w:rPr>
        <w:t>：</w:t>
      </w:r>
      <w:r>
        <w:rPr>
          <w:rFonts w:hint="eastAsia" w:eastAsia="仿宋_GB2312"/>
          <w:sz w:val="32"/>
          <w:szCs w:val="32"/>
          <w:highlight w:val="none"/>
        </w:rPr>
        <w:t>自有资金</w:t>
      </w:r>
      <w:r>
        <w:rPr>
          <w:rFonts w:hint="eastAsia" w:eastAsia="仿宋_GB2312"/>
          <w:sz w:val="32"/>
          <w:szCs w:val="32"/>
        </w:rPr>
        <w:t>；</w:t>
      </w:r>
    </w:p>
    <w:p>
      <w:pPr>
        <w:spacing w:line="560" w:lineRule="exact"/>
        <w:ind w:firstLine="643" w:firstLineChars="200"/>
        <w:rPr>
          <w:rFonts w:eastAsia="仿宋_GB2312"/>
          <w:sz w:val="32"/>
          <w:szCs w:val="32"/>
          <w:highlight w:val="none"/>
        </w:rPr>
      </w:pPr>
      <w:r>
        <w:rPr>
          <w:rFonts w:hint="eastAsia" w:eastAsia="仿宋_GB2312"/>
          <w:b/>
          <w:bCs/>
          <w:sz w:val="32"/>
          <w:szCs w:val="32"/>
        </w:rPr>
        <w:t>2</w:t>
      </w:r>
      <w:r>
        <w:rPr>
          <w:rFonts w:eastAsia="仿宋_GB2312"/>
          <w:b/>
          <w:bCs/>
          <w:sz w:val="32"/>
          <w:szCs w:val="32"/>
        </w:rPr>
        <w:t>.2</w:t>
      </w:r>
      <w:r>
        <w:rPr>
          <w:rFonts w:hint="eastAsia" w:eastAsia="仿宋_GB2312"/>
          <w:b/>
          <w:bCs/>
          <w:sz w:val="32"/>
          <w:szCs w:val="32"/>
        </w:rPr>
        <w:t>控制价（最高限价）</w:t>
      </w:r>
      <w:r>
        <w:rPr>
          <w:rFonts w:hint="eastAsia" w:eastAsia="仿宋_GB2312"/>
          <w:sz w:val="32"/>
          <w:szCs w:val="32"/>
        </w:rPr>
        <w:t>：</w:t>
      </w:r>
      <w:r>
        <w:rPr>
          <w:rFonts w:hint="eastAsia" w:eastAsia="仿宋_GB2312"/>
          <w:sz w:val="32"/>
          <w:szCs w:val="32"/>
          <w:highlight w:val="none"/>
        </w:rPr>
        <w:t>¥</w:t>
      </w:r>
      <w:r>
        <w:rPr>
          <w:rFonts w:hint="eastAsia" w:eastAsia="仿宋_GB2312"/>
          <w:sz w:val="32"/>
          <w:szCs w:val="32"/>
          <w:highlight w:val="none"/>
          <w:u w:val="single"/>
          <w:lang w:val="en-US" w:eastAsia="zh-CN"/>
        </w:rPr>
        <w:t>112656.00</w:t>
      </w:r>
      <w:r>
        <w:rPr>
          <w:rFonts w:hint="eastAsia" w:eastAsia="仿宋_GB2312"/>
          <w:sz w:val="32"/>
          <w:szCs w:val="32"/>
          <w:highlight w:val="none"/>
        </w:rPr>
        <w:t>元（大写：</w:t>
      </w:r>
      <w:r>
        <w:rPr>
          <w:rFonts w:hint="eastAsia" w:eastAsia="仿宋_GB2312"/>
          <w:sz w:val="32"/>
          <w:szCs w:val="32"/>
          <w:highlight w:val="none"/>
          <w:u w:val="single"/>
          <w:lang w:val="en-US" w:eastAsia="zh-CN"/>
        </w:rPr>
        <w:t>壹拾壹万贰仟陆佰伍拾陆元整</w:t>
      </w:r>
      <w:r>
        <w:rPr>
          <w:rFonts w:hint="eastAsia" w:eastAsia="仿宋_GB2312"/>
          <w:sz w:val="32"/>
          <w:szCs w:val="32"/>
          <w:highlight w:val="none"/>
        </w:rPr>
        <w:t>）；</w:t>
      </w:r>
    </w:p>
    <w:p>
      <w:pPr>
        <w:numPr>
          <w:ilvl w:val="0"/>
          <w:numId w:val="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val="en-US" w:eastAsia="zh-CN"/>
        </w:rPr>
        <w:t>3.</w:t>
      </w:r>
      <w:r>
        <w:rPr>
          <w:rFonts w:hint="eastAsia" w:ascii="黑体" w:hAnsi="黑体" w:eastAsia="黑体" w:cs="黑体"/>
          <w:sz w:val="32"/>
          <w:szCs w:val="32"/>
        </w:rPr>
        <w:t>采购项目简介：</w:t>
      </w:r>
    </w:p>
    <w:p>
      <w:pPr>
        <w:numPr>
          <w:ilvl w:val="0"/>
          <w:numId w:val="0"/>
        </w:numPr>
        <w:spacing w:line="560" w:lineRule="exact"/>
        <w:ind w:firstLine="640" w:firstLineChars="200"/>
        <w:rPr>
          <w:rFonts w:hint="eastAsia" w:eastAsia="仿宋_GB2312"/>
          <w:sz w:val="32"/>
          <w:szCs w:val="32"/>
          <w:u w:val="none"/>
          <w:lang w:val="en-US" w:eastAsia="zh-CN"/>
        </w:rPr>
      </w:pPr>
      <w:r>
        <w:rPr>
          <w:rFonts w:hint="eastAsia" w:eastAsia="仿宋_GB2312"/>
          <w:sz w:val="32"/>
          <w:szCs w:val="32"/>
          <w:u w:val="none"/>
          <w:lang w:val="en-US" w:eastAsia="zh-CN"/>
        </w:rPr>
        <w:t>本次四川省</w:t>
      </w:r>
      <w:r>
        <w:rPr>
          <w:rFonts w:hint="eastAsia" w:eastAsia="仿宋_GB2312"/>
          <w:sz w:val="32"/>
          <w:szCs w:val="32"/>
          <w:u w:val="none"/>
        </w:rPr>
        <w:t>都江堰</w:t>
      </w:r>
      <w:r>
        <w:rPr>
          <w:rFonts w:hint="eastAsia" w:eastAsia="仿宋_GB2312"/>
          <w:sz w:val="32"/>
          <w:szCs w:val="32"/>
          <w:u w:val="none"/>
          <w:lang w:val="en-US" w:eastAsia="zh-CN"/>
        </w:rPr>
        <w:t>水利发展中心</w:t>
      </w:r>
      <w:r>
        <w:rPr>
          <w:rFonts w:hint="eastAsia" w:eastAsia="仿宋_GB2312"/>
          <w:sz w:val="32"/>
          <w:szCs w:val="32"/>
          <w:u w:val="none"/>
        </w:rPr>
        <w:t>人民渠第一管理处</w:t>
      </w:r>
      <w:r>
        <w:rPr>
          <w:rFonts w:hint="eastAsia" w:eastAsia="仿宋_GB2312"/>
          <w:sz w:val="32"/>
          <w:szCs w:val="32"/>
          <w:u w:val="none"/>
          <w:lang w:val="en-US" w:eastAsia="zh-CN"/>
        </w:rPr>
        <w:t>处属各水利管理站标识标牌采购</w:t>
      </w:r>
      <w:r>
        <w:rPr>
          <w:rFonts w:hint="eastAsia" w:eastAsia="仿宋_GB2312"/>
          <w:sz w:val="32"/>
          <w:szCs w:val="32"/>
          <w:u w:val="none"/>
        </w:rPr>
        <w:t>项目</w:t>
      </w:r>
      <w:r>
        <w:rPr>
          <w:rFonts w:hint="eastAsia" w:eastAsia="仿宋_GB2312"/>
          <w:sz w:val="32"/>
          <w:szCs w:val="32"/>
          <w:u w:val="none"/>
          <w:lang w:val="en-US" w:eastAsia="zh-CN"/>
        </w:rPr>
        <w:t>主要分为彭州水利管理站、什邡水利管理站、永兴水利管理站、青白江水利管理站、新繁水利管理站及锦水河枢纽五个部分进行实施。</w:t>
      </w:r>
    </w:p>
    <w:p>
      <w:pPr>
        <w:numPr>
          <w:ilvl w:val="0"/>
          <w:numId w:val="0"/>
        </w:numPr>
        <w:spacing w:line="560" w:lineRule="exact"/>
        <w:ind w:firstLine="640" w:firstLineChars="200"/>
        <w:rPr>
          <w:rFonts w:hint="default" w:ascii="黑体" w:hAnsi="黑体" w:eastAsia="仿宋_GB2312" w:cs="黑体"/>
          <w:sz w:val="32"/>
          <w:szCs w:val="32"/>
          <w:u w:val="none"/>
          <w:lang w:val="en-US" w:eastAsia="zh-CN"/>
        </w:rPr>
      </w:pPr>
      <w:r>
        <w:rPr>
          <w:rFonts w:hint="eastAsia" w:eastAsia="仿宋_GB2312"/>
          <w:sz w:val="32"/>
          <w:szCs w:val="32"/>
          <w:u w:val="none"/>
          <w:lang w:val="en-US" w:eastAsia="zh-CN"/>
        </w:rPr>
        <w:t>项目实施具体地点为彭州市、什邡市、新都区、青白江区。主要实施内容及要求有：</w:t>
      </w:r>
    </w:p>
    <w:p>
      <w:pPr>
        <w:spacing w:line="360" w:lineRule="auto"/>
        <w:ind w:firstLine="640" w:firstLineChars="200"/>
        <w:rPr>
          <w:rFonts w:hint="eastAsia" w:eastAsia="仿宋_GB2312"/>
          <w:color w:val="000000"/>
          <w:sz w:val="32"/>
          <w:szCs w:val="32"/>
          <w:lang w:eastAsia="zh-CN"/>
        </w:rPr>
      </w:pPr>
      <w:bookmarkStart w:id="30" w:name="PO_默认文件内容_3"/>
      <w:r>
        <w:rPr>
          <w:rFonts w:hint="eastAsia" w:eastAsia="仿宋_GB2312"/>
          <w:color w:val="000000"/>
          <w:sz w:val="32"/>
          <w:szCs w:val="32"/>
          <w:lang w:val="en-US" w:eastAsia="zh-CN"/>
        </w:rPr>
        <w:t>3.1</w:t>
      </w:r>
      <w:r>
        <w:rPr>
          <w:rFonts w:hint="eastAsia" w:eastAsia="仿宋_GB2312"/>
          <w:color w:val="000000"/>
          <w:sz w:val="32"/>
          <w:szCs w:val="32"/>
        </w:rPr>
        <w:t>对</w:t>
      </w:r>
      <w:r>
        <w:rPr>
          <w:rFonts w:hint="eastAsia" w:eastAsia="仿宋_GB2312"/>
          <w:color w:val="000000"/>
          <w:sz w:val="32"/>
          <w:szCs w:val="32"/>
          <w:lang w:val="en-US" w:eastAsia="zh-CN"/>
        </w:rPr>
        <w:t>四川省都江堰水利发展中心人民渠第一管理处处属各水利管理站及锦水河枢纽标识标牌制作及安装等</w:t>
      </w:r>
      <w:r>
        <w:rPr>
          <w:rFonts w:hint="eastAsia" w:eastAsia="仿宋_GB2312"/>
          <w:color w:val="000000"/>
          <w:sz w:val="32"/>
          <w:szCs w:val="32"/>
          <w:lang w:eastAsia="zh-CN"/>
        </w:rPr>
        <w:t>；</w:t>
      </w:r>
    </w:p>
    <w:p>
      <w:pPr>
        <w:spacing w:line="360" w:lineRule="auto"/>
        <w:ind w:firstLine="640" w:firstLineChars="200"/>
        <w:rPr>
          <w:rFonts w:hint="default" w:eastAsia="仿宋_GB2312"/>
          <w:color w:val="000000"/>
          <w:sz w:val="32"/>
          <w:szCs w:val="32"/>
          <w:lang w:val="en-US" w:eastAsia="zh-CN"/>
        </w:rPr>
      </w:pPr>
      <w:r>
        <w:rPr>
          <w:rFonts w:hint="eastAsia" w:eastAsia="仿宋_GB2312"/>
          <w:color w:val="000000"/>
          <w:sz w:val="32"/>
          <w:szCs w:val="32"/>
          <w:lang w:val="en-US" w:eastAsia="zh-CN"/>
        </w:rPr>
        <w:t>3.2标识标牌清单及样式按照四川省都江堰水利发展中心视觉识别系统相关文件要求进行制作安装；</w:t>
      </w:r>
    </w:p>
    <w:p>
      <w:pPr>
        <w:pStyle w:val="17"/>
        <w:rPr>
          <w:rFonts w:hint="default" w:eastAsia="仿宋_GB2312"/>
          <w:lang w:val="en-US" w:eastAsia="zh-CN"/>
        </w:rPr>
      </w:pPr>
      <w:r>
        <w:rPr>
          <w:rFonts w:hint="eastAsia"/>
        </w:rPr>
        <w:t xml:space="preserve"> </w:t>
      </w:r>
      <w:r>
        <w:t xml:space="preserve">  </w:t>
      </w:r>
      <w:r>
        <w:rPr>
          <w:rFonts w:eastAsia="仿宋_GB2312"/>
          <w:color w:val="000000"/>
          <w:sz w:val="32"/>
          <w:szCs w:val="32"/>
        </w:rPr>
        <w:t xml:space="preserve">  </w:t>
      </w:r>
      <w:r>
        <w:rPr>
          <w:rFonts w:hint="eastAsia" w:eastAsia="仿宋_GB2312"/>
          <w:color w:val="000000"/>
          <w:sz w:val="32"/>
          <w:szCs w:val="32"/>
          <w:lang w:val="en-US" w:eastAsia="zh-CN"/>
        </w:rPr>
        <w:t>3.3新更换视觉识别系统（标识标牌）配色以目前已投入使用的视觉识别系统模板为准。</w:t>
      </w:r>
    </w:p>
    <w:p>
      <w:pPr>
        <w:spacing w:line="560" w:lineRule="exact"/>
        <w:ind w:firstLine="640" w:firstLineChars="200"/>
        <w:rPr>
          <w:rFonts w:ascii="黑体" w:hAnsi="黑体" w:eastAsia="黑体" w:cs="黑体"/>
          <w:sz w:val="32"/>
          <w:szCs w:val="32"/>
        </w:rPr>
      </w:pPr>
      <w:r>
        <w:rPr>
          <w:rFonts w:ascii="黑体" w:hAnsi="黑体" w:eastAsia="黑体" w:cs="黑体"/>
          <w:sz w:val="32"/>
          <w:szCs w:val="32"/>
        </w:rPr>
        <w:t>4.</w:t>
      </w:r>
      <w:r>
        <w:rPr>
          <w:rFonts w:hint="eastAsia" w:ascii="黑体" w:hAnsi="黑体" w:eastAsia="黑体" w:cs="黑体"/>
          <w:sz w:val="32"/>
          <w:szCs w:val="32"/>
        </w:rPr>
        <w:t>邀请供应商</w:t>
      </w:r>
    </w:p>
    <w:bookmarkEnd w:id="30"/>
    <w:p>
      <w:pPr>
        <w:pStyle w:val="17"/>
        <w:ind w:firstLine="640" w:firstLineChars="200"/>
      </w:pPr>
      <w:r>
        <w:rPr>
          <w:rFonts w:hint="eastAsia" w:eastAsia="仿宋_GB2312"/>
          <w:sz w:val="32"/>
          <w:szCs w:val="32"/>
          <w:lang w:val="zh-CN"/>
        </w:rPr>
        <w:t>本次</w:t>
      </w:r>
      <w:r>
        <w:rPr>
          <w:rFonts w:hint="eastAsia" w:eastAsia="仿宋_GB2312"/>
          <w:color w:val="auto"/>
          <w:sz w:val="32"/>
          <w:szCs w:val="32"/>
        </w:rPr>
        <w:t>谈判邀请</w:t>
      </w:r>
      <w:r>
        <w:rPr>
          <w:rFonts w:hint="eastAsia" w:eastAsia="仿宋_GB2312"/>
          <w:sz w:val="32"/>
          <w:szCs w:val="32"/>
          <w:lang w:val="zh-CN"/>
        </w:rPr>
        <w:t>在</w:t>
      </w:r>
      <w:bookmarkStart w:id="31" w:name="_Hlk139978221"/>
      <w:r>
        <w:rPr>
          <w:rFonts w:hint="eastAsia" w:eastAsia="仿宋_GB2312"/>
          <w:sz w:val="32"/>
          <w:szCs w:val="32"/>
          <w:lang w:val="zh-CN"/>
        </w:rPr>
        <w:t>四川省都江堰水利发展中心人民渠第一管理处</w:t>
      </w:r>
      <w:bookmarkEnd w:id="31"/>
      <w:r>
        <w:rPr>
          <w:rFonts w:hint="eastAsia" w:eastAsia="仿宋_GB2312"/>
          <w:sz w:val="32"/>
          <w:szCs w:val="32"/>
        </w:rPr>
        <w:t>（</w:t>
      </w:r>
      <w:r>
        <w:rPr>
          <w:rFonts w:hint="eastAsia" w:eastAsia="仿宋_GB2312"/>
          <w:sz w:val="32"/>
          <w:szCs w:val="32"/>
          <w:lang w:val="zh-CN"/>
        </w:rPr>
        <w:t>网址</w:t>
      </w:r>
      <w:r>
        <w:rPr>
          <w:rFonts w:hint="eastAsia" w:eastAsia="仿宋_GB2312"/>
          <w:sz w:val="32"/>
          <w:szCs w:val="32"/>
        </w:rPr>
        <w:t>：http://www.dujiangyan.com.cn/rmqyc.dhtml）</w:t>
      </w:r>
      <w:r>
        <w:rPr>
          <w:rFonts w:eastAsia="仿宋_GB2312"/>
          <w:sz w:val="32"/>
          <w:szCs w:val="32"/>
          <w:lang w:val="zh-CN"/>
        </w:rPr>
        <w:t>上以公告形式发布。</w:t>
      </w:r>
    </w:p>
    <w:p>
      <w:pPr>
        <w:keepNext w:val="0"/>
        <w:keepLines w:val="0"/>
        <w:pageBreakBefore w:val="0"/>
        <w:kinsoku/>
        <w:wordWrap/>
        <w:overflowPunct/>
        <w:topLinePunct w:val="0"/>
        <w:autoSpaceDE/>
        <w:autoSpaceDN/>
        <w:bidi w:val="0"/>
        <w:adjustRightInd/>
        <w:snapToGrid/>
        <w:spacing w:line="400" w:lineRule="exact"/>
        <w:ind w:firstLine="640" w:firstLineChars="200"/>
        <w:textAlignment w:val="auto"/>
        <w:rPr>
          <w:rFonts w:eastAsia="黑体"/>
          <w:sz w:val="32"/>
          <w:szCs w:val="32"/>
        </w:rPr>
      </w:pPr>
      <w:r>
        <w:rPr>
          <w:rFonts w:ascii="黑体" w:hAnsi="黑体" w:eastAsia="黑体" w:cs="黑体"/>
          <w:sz w:val="32"/>
          <w:szCs w:val="32"/>
        </w:rPr>
        <w:t>5.</w:t>
      </w:r>
      <w:r>
        <w:rPr>
          <w:rFonts w:hint="eastAsia" w:ascii="黑体" w:hAnsi="黑体" w:eastAsia="黑体" w:cs="黑体"/>
          <w:sz w:val="32"/>
          <w:szCs w:val="32"/>
        </w:rPr>
        <w:t>供应商资格要求</w:t>
      </w:r>
    </w:p>
    <w:p>
      <w:pPr>
        <w:keepNext w:val="0"/>
        <w:keepLines w:val="0"/>
        <w:pageBreakBefore w:val="0"/>
        <w:kinsoku/>
        <w:wordWrap/>
        <w:overflowPunct/>
        <w:topLinePunct w:val="0"/>
        <w:autoSpaceDE/>
        <w:autoSpaceDN/>
        <w:bidi w:val="0"/>
        <w:adjustRightInd/>
        <w:snapToGrid/>
        <w:spacing w:line="400" w:lineRule="exact"/>
        <w:ind w:firstLine="643" w:firstLineChars="200"/>
        <w:textAlignment w:val="auto"/>
        <w:rPr>
          <w:rFonts w:hint="eastAsia" w:ascii="Times New Roman" w:hAnsi="Times New Roman" w:eastAsia="仿宋_GB2312" w:cs="Times New Roman"/>
          <w:kern w:val="2"/>
          <w:sz w:val="32"/>
          <w:szCs w:val="32"/>
          <w:lang w:val="en-US" w:eastAsia="zh-CN" w:bidi="ar-SA"/>
        </w:rPr>
      </w:pPr>
      <w:bookmarkStart w:id="32" w:name="PO_供应商资格条件_1"/>
      <w:r>
        <w:rPr>
          <w:rFonts w:hint="eastAsia" w:eastAsia="仿宋_GB2312"/>
          <w:b/>
          <w:bCs/>
          <w:sz w:val="32"/>
          <w:szCs w:val="32"/>
          <w:lang w:val="en-US" w:eastAsia="zh-CN"/>
        </w:rPr>
        <w:t>5.1</w:t>
      </w:r>
      <w:r>
        <w:rPr>
          <w:rFonts w:hint="eastAsia" w:ascii="Times New Roman" w:hAnsi="Times New Roman" w:eastAsia="仿宋_GB2312" w:cs="Times New Roman"/>
          <w:kern w:val="2"/>
          <w:sz w:val="32"/>
          <w:szCs w:val="32"/>
          <w:lang w:val="en-US" w:eastAsia="zh-CN" w:bidi="ar-SA"/>
        </w:rPr>
        <w:t>具有独立企业法人资格。</w:t>
      </w:r>
    </w:p>
    <w:bookmarkEnd w:id="32"/>
    <w:p>
      <w:pPr>
        <w:pStyle w:val="37"/>
        <w:keepNext w:val="0"/>
        <w:keepLines w:val="0"/>
        <w:pageBreakBefore w:val="0"/>
        <w:widowControl/>
        <w:kinsoku/>
        <w:wordWrap/>
        <w:overflowPunct/>
        <w:topLinePunct w:val="0"/>
        <w:autoSpaceDE/>
        <w:autoSpaceDN/>
        <w:bidi w:val="0"/>
        <w:adjustRightInd/>
        <w:snapToGrid/>
        <w:spacing w:line="400" w:lineRule="exact"/>
        <w:ind w:firstLine="643"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5.2</w:t>
      </w:r>
      <w:r>
        <w:rPr>
          <w:rFonts w:hint="eastAsia" w:ascii="Times New Roman" w:hAnsi="Times New Roman" w:eastAsia="仿宋_GB2312" w:cs="Times New Roman"/>
          <w:kern w:val="2"/>
          <w:sz w:val="32"/>
          <w:szCs w:val="32"/>
          <w:lang w:val="en-US" w:eastAsia="zh-CN" w:bidi="ar-SA"/>
        </w:rPr>
        <w:t>具备承担本项目的实施能力，营业执照经营范围包含实施本项目的相关经营范围。</w:t>
      </w:r>
    </w:p>
    <w:p>
      <w:pPr>
        <w:pStyle w:val="37"/>
        <w:keepNext w:val="0"/>
        <w:keepLines w:val="0"/>
        <w:pageBreakBefore w:val="0"/>
        <w:widowControl/>
        <w:kinsoku/>
        <w:wordWrap/>
        <w:overflowPunct/>
        <w:topLinePunct w:val="0"/>
        <w:autoSpaceDE/>
        <w:autoSpaceDN/>
        <w:bidi w:val="0"/>
        <w:adjustRightInd/>
        <w:snapToGrid/>
        <w:spacing w:line="400" w:lineRule="exact"/>
        <w:ind w:firstLine="643"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5.3</w:t>
      </w:r>
      <w:r>
        <w:rPr>
          <w:rFonts w:hint="eastAsia" w:ascii="Times New Roman" w:hAnsi="Times New Roman" w:eastAsia="仿宋_GB2312" w:cs="Times New Roman"/>
          <w:kern w:val="2"/>
          <w:sz w:val="32"/>
          <w:szCs w:val="32"/>
          <w:lang w:val="en-US" w:eastAsia="zh-CN" w:bidi="ar-SA"/>
        </w:rPr>
        <w:t>信誉良好，遵守行业规范，近3年内未因不良行为被相关行政部门通报或有劣迹行为记录的单位。</w:t>
      </w:r>
    </w:p>
    <w:p>
      <w:pPr>
        <w:pStyle w:val="37"/>
        <w:keepNext w:val="0"/>
        <w:keepLines w:val="0"/>
        <w:pageBreakBefore w:val="0"/>
        <w:widowControl/>
        <w:kinsoku/>
        <w:wordWrap/>
        <w:overflowPunct/>
        <w:topLinePunct w:val="0"/>
        <w:autoSpaceDE/>
        <w:autoSpaceDN/>
        <w:bidi w:val="0"/>
        <w:adjustRightInd/>
        <w:snapToGrid/>
        <w:spacing w:line="400" w:lineRule="exact"/>
        <w:ind w:firstLine="643"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5.4</w:t>
      </w:r>
      <w:r>
        <w:rPr>
          <w:rFonts w:hint="eastAsia" w:ascii="Times New Roman" w:hAnsi="Times New Roman" w:eastAsia="仿宋_GB2312" w:cs="Times New Roman"/>
          <w:kern w:val="2"/>
          <w:sz w:val="32"/>
          <w:szCs w:val="32"/>
          <w:lang w:val="en-US" w:eastAsia="zh-CN" w:bidi="ar-SA"/>
        </w:rPr>
        <w:t>未处于财产被接管、冻结、破产状态，未处于四川省行政区域内有关行政处罚期间。</w:t>
      </w:r>
    </w:p>
    <w:p>
      <w:pPr>
        <w:pStyle w:val="37"/>
        <w:keepNext w:val="0"/>
        <w:keepLines w:val="0"/>
        <w:pageBreakBefore w:val="0"/>
        <w:widowControl/>
        <w:kinsoku/>
        <w:wordWrap/>
        <w:overflowPunct/>
        <w:topLinePunct w:val="0"/>
        <w:autoSpaceDE/>
        <w:autoSpaceDN/>
        <w:bidi w:val="0"/>
        <w:adjustRightInd/>
        <w:snapToGrid/>
        <w:spacing w:line="400" w:lineRule="exact"/>
        <w:ind w:firstLine="643"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5.5</w:t>
      </w:r>
      <w:r>
        <w:rPr>
          <w:rFonts w:hint="eastAsia" w:ascii="Times New Roman" w:hAnsi="Times New Roman" w:eastAsia="仿宋_GB2312" w:cs="Times New Roman"/>
          <w:kern w:val="2"/>
          <w:sz w:val="32"/>
          <w:szCs w:val="32"/>
          <w:lang w:val="en-US" w:eastAsia="zh-CN" w:bidi="ar-SA"/>
        </w:rPr>
        <w:t>不接受联合体投标，禁止有隶属关系、关联关系等可能影响服务客观性的企业参加。</w:t>
      </w:r>
    </w:p>
    <w:p>
      <w:pPr>
        <w:pStyle w:val="37"/>
        <w:keepNext w:val="0"/>
        <w:keepLines w:val="0"/>
        <w:pageBreakBefore w:val="0"/>
        <w:widowControl/>
        <w:kinsoku/>
        <w:wordWrap/>
        <w:overflowPunct/>
        <w:topLinePunct w:val="0"/>
        <w:autoSpaceDE/>
        <w:autoSpaceDN/>
        <w:bidi w:val="0"/>
        <w:adjustRightInd/>
        <w:snapToGrid/>
        <w:spacing w:line="400" w:lineRule="exact"/>
        <w:ind w:firstLine="643"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5.6</w:t>
      </w:r>
      <w:r>
        <w:rPr>
          <w:rFonts w:hint="eastAsia" w:ascii="Times New Roman" w:hAnsi="Times New Roman" w:eastAsia="仿宋_GB2312" w:cs="Times New Roman"/>
          <w:kern w:val="2"/>
          <w:sz w:val="32"/>
          <w:szCs w:val="32"/>
          <w:lang w:val="en-US" w:eastAsia="zh-CN" w:bidi="ar-SA"/>
        </w:rPr>
        <w:t>投标人不存在法律法规规定的不得参加投标的其他情形。</w:t>
      </w:r>
    </w:p>
    <w:p>
      <w:pPr>
        <w:spacing w:line="560" w:lineRule="exact"/>
        <w:ind w:firstLine="640" w:firstLineChars="200"/>
        <w:rPr>
          <w:rFonts w:ascii="黑体" w:hAnsi="黑体" w:eastAsia="黑体" w:cs="黑体"/>
          <w:sz w:val="32"/>
          <w:szCs w:val="32"/>
        </w:rPr>
      </w:pPr>
      <w:r>
        <w:rPr>
          <w:rFonts w:ascii="黑体" w:hAnsi="黑体" w:eastAsia="黑体" w:cs="黑体"/>
          <w:sz w:val="32"/>
          <w:szCs w:val="32"/>
        </w:rPr>
        <w:t>6.</w:t>
      </w:r>
      <w:r>
        <w:rPr>
          <w:rFonts w:hint="eastAsia" w:ascii="黑体" w:hAnsi="黑体" w:eastAsia="黑体" w:cs="黑体"/>
          <w:sz w:val="32"/>
          <w:szCs w:val="32"/>
        </w:rPr>
        <w:t>禁止参加本次采购活动的供应商</w:t>
      </w:r>
    </w:p>
    <w:p>
      <w:pPr>
        <w:spacing w:line="560" w:lineRule="exact"/>
        <w:ind w:firstLine="640" w:firstLineChars="200"/>
        <w:rPr>
          <w:rFonts w:eastAsia="仿宋_GB2312"/>
          <w:sz w:val="32"/>
          <w:szCs w:val="32"/>
        </w:rPr>
      </w:pPr>
      <w:bookmarkStart w:id="33" w:name="PO_默认文件内容_4"/>
      <w:r>
        <w:rPr>
          <w:rFonts w:hint="eastAsia" w:eastAsia="仿宋_GB2312"/>
          <w:sz w:val="32"/>
          <w:szCs w:val="32"/>
        </w:rPr>
        <w:t>采购人</w:t>
      </w:r>
      <w:r>
        <w:rPr>
          <w:rFonts w:eastAsia="仿宋_GB2312"/>
          <w:sz w:val="32"/>
          <w:szCs w:val="32"/>
        </w:rPr>
        <w:t>/</w:t>
      </w:r>
      <w:r>
        <w:rPr>
          <w:rFonts w:hint="eastAsia" w:eastAsia="仿宋_GB2312"/>
          <w:sz w:val="32"/>
          <w:szCs w:val="32"/>
        </w:rPr>
        <w:t>采购代理机构/供应商将通过“信用中国”网站（</w:t>
      </w:r>
      <w:r>
        <w:rPr>
          <w:rFonts w:eastAsia="仿宋_GB2312"/>
          <w:sz w:val="32"/>
          <w:szCs w:val="32"/>
        </w:rPr>
        <w:t>www.creditchina.gov.cn</w:t>
      </w:r>
      <w:r>
        <w:rPr>
          <w:rFonts w:hint="eastAsia" w:eastAsia="仿宋_GB2312"/>
          <w:sz w:val="32"/>
          <w:szCs w:val="32"/>
        </w:rPr>
        <w:t>）查询递交了响应文件的供应商的信用记录并保存信用记录结果网页截图。截至响应文件提交截止日，被列入政府采购严重违法失信行为记录名单、失信被执行人名单、重大税收违法失信主体的供应商，不得参与本项目采购活动。</w:t>
      </w:r>
    </w:p>
    <w:bookmarkEnd w:id="33"/>
    <w:p>
      <w:pPr>
        <w:spacing w:line="560" w:lineRule="exact"/>
        <w:ind w:firstLine="640" w:firstLineChars="200"/>
        <w:rPr>
          <w:rFonts w:ascii="黑体" w:hAnsi="黑体" w:eastAsia="黑体" w:cs="黑体"/>
          <w:sz w:val="32"/>
          <w:szCs w:val="32"/>
        </w:rPr>
      </w:pPr>
      <w:bookmarkStart w:id="34" w:name="_Toc213396945"/>
      <w:bookmarkStart w:id="35" w:name="_Toc213496267"/>
      <w:bookmarkStart w:id="36" w:name="_Toc509579141"/>
      <w:bookmarkStart w:id="37" w:name="_Toc217446031"/>
      <w:bookmarkStart w:id="38" w:name="_Toc213397009"/>
      <w:bookmarkStart w:id="39" w:name="_Toc213396759"/>
      <w:r>
        <w:rPr>
          <w:rFonts w:ascii="黑体" w:hAnsi="黑体" w:eastAsia="黑体" w:cs="黑体"/>
          <w:sz w:val="32"/>
          <w:szCs w:val="32"/>
        </w:rPr>
        <w:t>7.</w:t>
      </w:r>
      <w:r>
        <w:rPr>
          <w:rFonts w:hint="eastAsia" w:ascii="黑体" w:hAnsi="黑体" w:eastAsia="黑体" w:cs="黑体"/>
          <w:sz w:val="32"/>
          <w:szCs w:val="32"/>
        </w:rPr>
        <w:t>报名时间及方式</w:t>
      </w:r>
    </w:p>
    <w:p>
      <w:pPr>
        <w:spacing w:line="560" w:lineRule="exact"/>
        <w:ind w:firstLine="643" w:firstLineChars="200"/>
        <w:rPr>
          <w:rFonts w:eastAsia="仿宋_GB2312"/>
          <w:sz w:val="32"/>
          <w:szCs w:val="32"/>
        </w:rPr>
      </w:pPr>
      <w:r>
        <w:rPr>
          <w:rFonts w:eastAsia="仿宋_GB2312"/>
          <w:b/>
          <w:bCs/>
          <w:sz w:val="32"/>
          <w:szCs w:val="32"/>
        </w:rPr>
        <w:t>7.1</w:t>
      </w:r>
      <w:r>
        <w:rPr>
          <w:rFonts w:hint="eastAsia" w:eastAsia="仿宋_GB2312"/>
          <w:b/>
          <w:bCs/>
          <w:sz w:val="32"/>
          <w:szCs w:val="32"/>
        </w:rPr>
        <w:t>报名方式</w:t>
      </w:r>
      <w:r>
        <w:rPr>
          <w:rFonts w:hint="eastAsia" w:eastAsia="仿宋_GB2312"/>
          <w:sz w:val="32"/>
          <w:szCs w:val="32"/>
        </w:rPr>
        <w:t>：线下报名。</w:t>
      </w:r>
    </w:p>
    <w:p>
      <w:pPr>
        <w:spacing w:line="560" w:lineRule="exact"/>
        <w:ind w:firstLine="643" w:firstLineChars="200"/>
        <w:rPr>
          <w:rFonts w:eastAsia="仿宋_GB2312"/>
          <w:sz w:val="32"/>
          <w:szCs w:val="32"/>
          <w:highlight w:val="none"/>
        </w:rPr>
      </w:pPr>
      <w:r>
        <w:rPr>
          <w:rFonts w:eastAsia="仿宋_GB2312"/>
          <w:b/>
          <w:bCs/>
          <w:sz w:val="32"/>
          <w:szCs w:val="32"/>
        </w:rPr>
        <w:t>7.2</w:t>
      </w:r>
      <w:r>
        <w:rPr>
          <w:rFonts w:hint="eastAsia" w:eastAsia="仿宋_GB2312"/>
          <w:b/>
          <w:bCs/>
          <w:sz w:val="32"/>
          <w:szCs w:val="32"/>
        </w:rPr>
        <w:t>报名时间</w:t>
      </w:r>
      <w:r>
        <w:rPr>
          <w:rFonts w:hint="eastAsia" w:eastAsia="仿宋_GB2312"/>
          <w:sz w:val="32"/>
          <w:szCs w:val="32"/>
        </w:rPr>
        <w:t>：</w:t>
      </w:r>
      <w:r>
        <w:rPr>
          <w:rFonts w:eastAsia="仿宋_GB2312"/>
          <w:sz w:val="32"/>
          <w:szCs w:val="32"/>
          <w:highlight w:val="none"/>
          <w:u w:val="single"/>
        </w:rPr>
        <w:t>2023</w:t>
      </w:r>
      <w:r>
        <w:rPr>
          <w:rFonts w:hint="eastAsia" w:eastAsia="仿宋_GB2312"/>
          <w:sz w:val="32"/>
          <w:szCs w:val="32"/>
          <w:highlight w:val="none"/>
        </w:rPr>
        <w:t>年</w:t>
      </w:r>
      <w:r>
        <w:rPr>
          <w:rFonts w:hint="eastAsia" w:eastAsia="仿宋_GB2312"/>
          <w:sz w:val="32"/>
          <w:szCs w:val="32"/>
          <w:highlight w:val="none"/>
          <w:u w:val="single"/>
          <w:lang w:val="en-US" w:eastAsia="zh-CN"/>
        </w:rPr>
        <w:t>9</w:t>
      </w:r>
      <w:r>
        <w:rPr>
          <w:rFonts w:hint="eastAsia" w:eastAsia="仿宋_GB2312"/>
          <w:sz w:val="32"/>
          <w:szCs w:val="32"/>
          <w:highlight w:val="none"/>
        </w:rPr>
        <w:t>月</w:t>
      </w:r>
      <w:r>
        <w:rPr>
          <w:rFonts w:hint="eastAsia" w:eastAsia="仿宋_GB2312"/>
          <w:sz w:val="32"/>
          <w:szCs w:val="32"/>
          <w:highlight w:val="none"/>
          <w:u w:val="single"/>
        </w:rPr>
        <w:t xml:space="preserve"> </w:t>
      </w:r>
      <w:r>
        <w:rPr>
          <w:rFonts w:hint="eastAsia" w:eastAsia="仿宋_GB2312"/>
          <w:sz w:val="32"/>
          <w:szCs w:val="32"/>
          <w:highlight w:val="none"/>
          <w:u w:val="single"/>
          <w:lang w:val="en-US" w:eastAsia="zh-CN"/>
        </w:rPr>
        <w:t>23</w:t>
      </w:r>
      <w:r>
        <w:rPr>
          <w:rFonts w:hint="eastAsia" w:eastAsia="仿宋_GB2312"/>
          <w:sz w:val="32"/>
          <w:szCs w:val="32"/>
          <w:highlight w:val="none"/>
          <w:u w:val="single"/>
        </w:rPr>
        <w:t xml:space="preserve"> </w:t>
      </w:r>
      <w:r>
        <w:rPr>
          <w:rFonts w:hint="eastAsia" w:eastAsia="仿宋_GB2312"/>
          <w:sz w:val="32"/>
          <w:szCs w:val="32"/>
          <w:highlight w:val="none"/>
        </w:rPr>
        <w:t>日—</w:t>
      </w:r>
      <w:r>
        <w:rPr>
          <w:rFonts w:eastAsia="仿宋_GB2312"/>
          <w:sz w:val="32"/>
          <w:szCs w:val="32"/>
          <w:highlight w:val="none"/>
          <w:u w:val="single"/>
        </w:rPr>
        <w:t>2023</w:t>
      </w:r>
      <w:r>
        <w:rPr>
          <w:rFonts w:hint="eastAsia" w:eastAsia="仿宋_GB2312"/>
          <w:sz w:val="32"/>
          <w:szCs w:val="32"/>
          <w:highlight w:val="none"/>
        </w:rPr>
        <w:t>年</w:t>
      </w:r>
      <w:r>
        <w:rPr>
          <w:rFonts w:hint="eastAsia" w:eastAsia="仿宋_GB2312"/>
          <w:sz w:val="32"/>
          <w:szCs w:val="32"/>
          <w:highlight w:val="none"/>
          <w:u w:val="single"/>
          <w:lang w:val="en-US" w:eastAsia="zh-CN"/>
        </w:rPr>
        <w:t>9</w:t>
      </w:r>
      <w:r>
        <w:rPr>
          <w:rFonts w:hint="eastAsia" w:eastAsia="仿宋_GB2312"/>
          <w:sz w:val="32"/>
          <w:szCs w:val="32"/>
          <w:highlight w:val="none"/>
        </w:rPr>
        <w:t>月</w:t>
      </w:r>
      <w:r>
        <w:rPr>
          <w:rFonts w:hint="eastAsia" w:eastAsia="仿宋_GB2312"/>
          <w:sz w:val="32"/>
          <w:szCs w:val="32"/>
          <w:highlight w:val="none"/>
          <w:u w:val="single"/>
        </w:rPr>
        <w:t xml:space="preserve"> </w:t>
      </w:r>
      <w:r>
        <w:rPr>
          <w:rFonts w:hint="eastAsia" w:eastAsia="仿宋_GB2312"/>
          <w:sz w:val="32"/>
          <w:szCs w:val="32"/>
          <w:highlight w:val="none"/>
          <w:u w:val="single"/>
          <w:lang w:val="en-US" w:eastAsia="zh-CN"/>
        </w:rPr>
        <w:t>27</w:t>
      </w:r>
      <w:r>
        <w:rPr>
          <w:rFonts w:hint="eastAsia" w:eastAsia="仿宋_GB2312"/>
          <w:sz w:val="32"/>
          <w:szCs w:val="32"/>
          <w:highlight w:val="none"/>
          <w:u w:val="single"/>
        </w:rPr>
        <w:t xml:space="preserve"> </w:t>
      </w:r>
      <w:r>
        <w:rPr>
          <w:rFonts w:hint="eastAsia" w:eastAsia="仿宋_GB2312"/>
          <w:sz w:val="32"/>
          <w:szCs w:val="32"/>
          <w:highlight w:val="none"/>
        </w:rPr>
        <w:t>日（工作日</w:t>
      </w:r>
      <w:r>
        <w:rPr>
          <w:rFonts w:eastAsia="仿宋_GB2312"/>
          <w:sz w:val="32"/>
          <w:szCs w:val="32"/>
          <w:highlight w:val="none"/>
        </w:rPr>
        <w:t>9:00</w:t>
      </w:r>
      <w:r>
        <w:rPr>
          <w:rFonts w:hint="eastAsia" w:eastAsia="仿宋_GB2312"/>
          <w:sz w:val="32"/>
          <w:szCs w:val="32"/>
          <w:highlight w:val="none"/>
        </w:rPr>
        <w:t>—</w:t>
      </w:r>
      <w:r>
        <w:rPr>
          <w:rFonts w:eastAsia="仿宋_GB2312"/>
          <w:sz w:val="32"/>
          <w:szCs w:val="32"/>
          <w:highlight w:val="none"/>
        </w:rPr>
        <w:t>17:00</w:t>
      </w:r>
      <w:r>
        <w:rPr>
          <w:rFonts w:hint="eastAsia" w:eastAsia="仿宋_GB2312"/>
          <w:sz w:val="32"/>
          <w:szCs w:val="32"/>
          <w:highlight w:val="none"/>
        </w:rPr>
        <w:t>，北京时间），现场</w:t>
      </w:r>
      <w:r>
        <w:rPr>
          <w:rFonts w:eastAsia="仿宋_GB2312"/>
          <w:sz w:val="32"/>
          <w:szCs w:val="32"/>
          <w:highlight w:val="none"/>
        </w:rPr>
        <w:t>报名并</w:t>
      </w:r>
      <w:r>
        <w:rPr>
          <w:rFonts w:hint="eastAsia" w:eastAsia="仿宋_GB2312"/>
          <w:sz w:val="32"/>
          <w:szCs w:val="32"/>
          <w:highlight w:val="none"/>
        </w:rPr>
        <w:t>获取采购文件，逾期不予受理。</w:t>
      </w:r>
    </w:p>
    <w:p>
      <w:pPr>
        <w:spacing w:line="560" w:lineRule="exact"/>
        <w:ind w:firstLine="643" w:firstLineChars="200"/>
        <w:rPr>
          <w:rFonts w:eastAsia="仿宋_GB2312"/>
          <w:sz w:val="32"/>
          <w:szCs w:val="32"/>
          <w:highlight w:val="none"/>
        </w:rPr>
      </w:pPr>
      <w:r>
        <w:rPr>
          <w:rFonts w:eastAsia="仿宋_GB2312"/>
          <w:b/>
          <w:bCs/>
          <w:sz w:val="32"/>
          <w:szCs w:val="32"/>
          <w:highlight w:val="none"/>
        </w:rPr>
        <w:t>7.3</w:t>
      </w:r>
      <w:r>
        <w:rPr>
          <w:rFonts w:hint="eastAsia" w:eastAsia="仿宋_GB2312"/>
          <w:b/>
          <w:bCs/>
          <w:sz w:val="32"/>
          <w:szCs w:val="32"/>
          <w:highlight w:val="none"/>
        </w:rPr>
        <w:t>报名地址</w:t>
      </w:r>
      <w:r>
        <w:rPr>
          <w:rFonts w:hint="eastAsia" w:eastAsia="仿宋_GB2312"/>
          <w:sz w:val="32"/>
          <w:szCs w:val="32"/>
          <w:highlight w:val="none"/>
        </w:rPr>
        <w:t>：</w:t>
      </w:r>
      <w:r>
        <w:rPr>
          <w:rFonts w:hint="eastAsia" w:eastAsia="仿宋_GB2312"/>
          <w:sz w:val="32"/>
          <w:szCs w:val="32"/>
          <w:highlight w:val="none"/>
          <w:u w:val="single"/>
        </w:rPr>
        <w:t>四川省彭州市天彭街道东南市街6</w:t>
      </w:r>
      <w:r>
        <w:rPr>
          <w:rFonts w:eastAsia="仿宋_GB2312"/>
          <w:sz w:val="32"/>
          <w:szCs w:val="32"/>
          <w:highlight w:val="none"/>
          <w:u w:val="single"/>
        </w:rPr>
        <w:t>7#</w:t>
      </w:r>
      <w:r>
        <w:rPr>
          <w:rFonts w:hint="eastAsia" w:eastAsia="仿宋_GB2312"/>
          <w:sz w:val="32"/>
          <w:szCs w:val="32"/>
          <w:highlight w:val="none"/>
          <w:u w:val="single"/>
        </w:rPr>
        <w:t>，</w:t>
      </w:r>
      <w:r>
        <w:rPr>
          <w:rFonts w:eastAsia="仿宋_GB2312"/>
          <w:sz w:val="32"/>
          <w:szCs w:val="32"/>
          <w:highlight w:val="none"/>
          <w:u w:val="single"/>
        </w:rPr>
        <w:t>504</w:t>
      </w:r>
      <w:r>
        <w:rPr>
          <w:rFonts w:hint="eastAsia" w:eastAsia="仿宋_GB2312"/>
          <w:sz w:val="32"/>
          <w:szCs w:val="32"/>
          <w:highlight w:val="none"/>
          <w:u w:val="single"/>
        </w:rPr>
        <w:t>室</w:t>
      </w:r>
      <w:r>
        <w:rPr>
          <w:rFonts w:hint="eastAsia" w:eastAsia="仿宋_GB2312"/>
          <w:sz w:val="32"/>
          <w:szCs w:val="32"/>
          <w:highlight w:val="none"/>
        </w:rPr>
        <w:t>；联系人：</w:t>
      </w:r>
      <w:r>
        <w:rPr>
          <w:rFonts w:hint="eastAsia" w:eastAsia="仿宋_GB2312"/>
          <w:sz w:val="32"/>
          <w:szCs w:val="32"/>
          <w:highlight w:val="none"/>
          <w:lang w:val="en-US" w:eastAsia="zh-CN"/>
        </w:rPr>
        <w:t>贾</w:t>
      </w:r>
      <w:r>
        <w:rPr>
          <w:rFonts w:hint="eastAsia" w:eastAsia="仿宋_GB2312"/>
          <w:sz w:val="32"/>
          <w:szCs w:val="32"/>
          <w:highlight w:val="none"/>
        </w:rPr>
        <w:t>老师，联系电话</w:t>
      </w:r>
      <w:r>
        <w:rPr>
          <w:rFonts w:hint="eastAsia" w:eastAsia="仿宋_GB2312"/>
          <w:color w:val="auto"/>
          <w:sz w:val="32"/>
          <w:szCs w:val="32"/>
          <w:highlight w:val="none"/>
        </w:rPr>
        <w:t>：</w:t>
      </w:r>
      <w:r>
        <w:rPr>
          <w:rFonts w:hint="eastAsia" w:eastAsia="仿宋_GB2312"/>
          <w:color w:val="auto"/>
          <w:sz w:val="32"/>
          <w:szCs w:val="32"/>
          <w:highlight w:val="none"/>
          <w:u w:val="single"/>
          <w:lang w:val="en-US" w:eastAsia="zh-CN"/>
        </w:rPr>
        <w:t>15184472065</w:t>
      </w:r>
      <w:r>
        <w:rPr>
          <w:rFonts w:hint="eastAsia" w:eastAsia="仿宋_GB2312"/>
          <w:sz w:val="32"/>
          <w:szCs w:val="32"/>
          <w:highlight w:val="none"/>
        </w:rPr>
        <w:t>。</w:t>
      </w:r>
    </w:p>
    <w:p>
      <w:pPr>
        <w:spacing w:line="560" w:lineRule="exact"/>
        <w:ind w:firstLine="643" w:firstLineChars="200"/>
        <w:rPr>
          <w:rFonts w:eastAsia="仿宋_GB2312"/>
          <w:sz w:val="32"/>
          <w:szCs w:val="32"/>
        </w:rPr>
      </w:pPr>
      <w:r>
        <w:rPr>
          <w:rFonts w:eastAsia="仿宋_GB2312"/>
          <w:b/>
          <w:bCs/>
          <w:sz w:val="32"/>
          <w:szCs w:val="32"/>
        </w:rPr>
        <w:t>7.4</w:t>
      </w:r>
      <w:r>
        <w:rPr>
          <w:rFonts w:hint="eastAsia" w:eastAsia="仿宋_GB2312"/>
          <w:b/>
          <w:bCs/>
          <w:sz w:val="32"/>
          <w:szCs w:val="32"/>
        </w:rPr>
        <w:t>报名需提供的资料</w:t>
      </w:r>
      <w:r>
        <w:rPr>
          <w:rFonts w:hint="eastAsia" w:eastAsia="仿宋_GB2312"/>
          <w:sz w:val="32"/>
          <w:szCs w:val="32"/>
        </w:rPr>
        <w:t>：①供应商介绍信；②营业执照或事业法人登记证副本复印件加盖公章；③经办人身份证复印件加盖公章。注：开具供应商介绍信时需写明项目名称、经办人姓名、手机号码、邮箱及办理具体事宜等内容。</w:t>
      </w:r>
    </w:p>
    <w:p>
      <w:pPr>
        <w:spacing w:line="560" w:lineRule="exact"/>
        <w:ind w:firstLine="640" w:firstLineChars="200"/>
        <w:rPr>
          <w:rFonts w:eastAsia="仿宋_GB2312"/>
          <w:sz w:val="32"/>
          <w:szCs w:val="32"/>
        </w:rPr>
      </w:pPr>
      <w:r>
        <w:rPr>
          <w:rFonts w:ascii="黑体" w:hAnsi="黑体" w:eastAsia="黑体" w:cs="黑体"/>
          <w:sz w:val="32"/>
          <w:szCs w:val="32"/>
        </w:rPr>
        <w:t>8.</w:t>
      </w:r>
      <w:r>
        <w:rPr>
          <w:rFonts w:hint="eastAsia" w:ascii="黑体" w:hAnsi="黑体" w:eastAsia="黑体" w:cs="黑体"/>
          <w:sz w:val="32"/>
          <w:szCs w:val="32"/>
        </w:rPr>
        <w:t>递交响应文件截止时间</w:t>
      </w:r>
    </w:p>
    <w:p>
      <w:pPr>
        <w:spacing w:line="560" w:lineRule="exact"/>
        <w:ind w:firstLine="640" w:firstLineChars="200"/>
        <w:rPr>
          <w:rFonts w:eastAsia="仿宋_GB2312"/>
          <w:sz w:val="32"/>
          <w:szCs w:val="32"/>
        </w:rPr>
      </w:pPr>
      <w:r>
        <w:rPr>
          <w:rFonts w:eastAsia="仿宋_GB2312"/>
          <w:sz w:val="32"/>
          <w:szCs w:val="32"/>
          <w:highlight w:val="none"/>
          <w:u w:val="none"/>
        </w:rPr>
        <w:t>2023</w:t>
      </w:r>
      <w:r>
        <w:rPr>
          <w:rFonts w:hint="eastAsia" w:eastAsia="仿宋_GB2312"/>
          <w:sz w:val="32"/>
          <w:szCs w:val="32"/>
          <w:highlight w:val="none"/>
          <w:u w:val="none"/>
        </w:rPr>
        <w:t>年</w:t>
      </w:r>
      <w:r>
        <w:rPr>
          <w:rFonts w:hint="eastAsia" w:eastAsia="仿宋_GB2312"/>
          <w:sz w:val="32"/>
          <w:szCs w:val="32"/>
          <w:highlight w:val="none"/>
          <w:u w:val="none"/>
          <w:lang w:val="en-US" w:eastAsia="zh-CN"/>
        </w:rPr>
        <w:t>10</w:t>
      </w:r>
      <w:r>
        <w:rPr>
          <w:rFonts w:hint="eastAsia" w:eastAsia="仿宋_GB2312"/>
          <w:sz w:val="32"/>
          <w:szCs w:val="32"/>
          <w:highlight w:val="none"/>
          <w:u w:val="none"/>
        </w:rPr>
        <w:t xml:space="preserve">月 </w:t>
      </w:r>
      <w:r>
        <w:rPr>
          <w:rFonts w:hint="eastAsia" w:eastAsia="仿宋_GB2312"/>
          <w:sz w:val="32"/>
          <w:szCs w:val="32"/>
          <w:highlight w:val="none"/>
          <w:u w:val="none"/>
          <w:lang w:val="en-US" w:eastAsia="zh-CN"/>
        </w:rPr>
        <w:t>10</w:t>
      </w:r>
      <w:r>
        <w:rPr>
          <w:rFonts w:hint="eastAsia" w:eastAsia="仿宋_GB2312"/>
          <w:sz w:val="32"/>
          <w:szCs w:val="32"/>
          <w:highlight w:val="none"/>
          <w:u w:val="none"/>
        </w:rPr>
        <w:t xml:space="preserve"> 日 </w:t>
      </w:r>
      <w:r>
        <w:rPr>
          <w:rFonts w:hint="eastAsia" w:eastAsia="仿宋_GB2312"/>
          <w:sz w:val="32"/>
          <w:szCs w:val="32"/>
          <w:highlight w:val="none"/>
          <w:u w:val="none"/>
          <w:lang w:val="en-US" w:eastAsia="zh-CN"/>
        </w:rPr>
        <w:t>10</w:t>
      </w:r>
      <w:r>
        <w:rPr>
          <w:rFonts w:hint="eastAsia" w:eastAsia="仿宋_GB2312"/>
          <w:sz w:val="32"/>
          <w:szCs w:val="32"/>
          <w:highlight w:val="none"/>
          <w:u w:val="none"/>
        </w:rPr>
        <w:t xml:space="preserve"> 点 </w:t>
      </w:r>
      <w:r>
        <w:rPr>
          <w:rFonts w:hint="eastAsia" w:eastAsia="仿宋_GB2312"/>
          <w:sz w:val="32"/>
          <w:szCs w:val="32"/>
          <w:highlight w:val="none"/>
          <w:u w:val="none"/>
          <w:lang w:val="en-US" w:eastAsia="zh-CN"/>
        </w:rPr>
        <w:t>00</w:t>
      </w:r>
      <w:r>
        <w:rPr>
          <w:rFonts w:hint="eastAsia" w:eastAsia="仿宋_GB2312"/>
          <w:sz w:val="32"/>
          <w:szCs w:val="32"/>
          <w:highlight w:val="none"/>
          <w:u w:val="none"/>
        </w:rPr>
        <w:t xml:space="preserve"> 分</w:t>
      </w:r>
      <w:r>
        <w:rPr>
          <w:rFonts w:hint="eastAsia" w:eastAsia="仿宋_GB2312"/>
          <w:sz w:val="32"/>
          <w:szCs w:val="32"/>
          <w:highlight w:val="none"/>
        </w:rPr>
        <w:t>（北京时间），在截</w:t>
      </w:r>
      <w:r>
        <w:rPr>
          <w:rFonts w:hint="eastAsia" w:eastAsia="仿宋_GB2312"/>
          <w:sz w:val="32"/>
          <w:szCs w:val="32"/>
        </w:rPr>
        <w:t>止时间后送达的响应文件为无效文件，将被拒收。</w:t>
      </w:r>
    </w:p>
    <w:p>
      <w:pPr>
        <w:spacing w:before="160" w:line="560" w:lineRule="exact"/>
        <w:ind w:right="491" w:firstLine="640" w:firstLineChars="200"/>
        <w:rPr>
          <w:rFonts w:ascii="黑体" w:hAnsi="黑体" w:eastAsia="黑体" w:cs="黑体"/>
          <w:sz w:val="32"/>
          <w:szCs w:val="32"/>
        </w:rPr>
      </w:pPr>
      <w:r>
        <w:rPr>
          <w:rFonts w:ascii="黑体" w:hAnsi="黑体" w:eastAsia="黑体" w:cs="黑体"/>
          <w:sz w:val="32"/>
          <w:szCs w:val="32"/>
        </w:rPr>
        <w:t>9.</w:t>
      </w:r>
      <w:r>
        <w:rPr>
          <w:rFonts w:hint="eastAsia" w:ascii="黑体" w:hAnsi="黑体" w:eastAsia="黑体" w:cs="黑体"/>
          <w:sz w:val="32"/>
          <w:szCs w:val="32"/>
        </w:rPr>
        <w:t>递交响应文件地点</w:t>
      </w:r>
    </w:p>
    <w:p>
      <w:pPr>
        <w:widowControl/>
        <w:spacing w:line="560" w:lineRule="exact"/>
        <w:ind w:firstLine="640" w:firstLineChars="200"/>
        <w:rPr>
          <w:rFonts w:eastAsia="仿宋_GB2312"/>
          <w:sz w:val="32"/>
          <w:szCs w:val="32"/>
        </w:rPr>
      </w:pPr>
      <w:bookmarkStart w:id="40" w:name="_Hlk139977986"/>
      <w:r>
        <w:rPr>
          <w:rFonts w:hint="eastAsia" w:eastAsia="仿宋_GB2312"/>
          <w:sz w:val="32"/>
          <w:szCs w:val="32"/>
          <w:highlight w:val="none"/>
          <w:u w:val="none"/>
        </w:rPr>
        <w:t>四川省彭州市天彭街道东南市街6</w:t>
      </w:r>
      <w:r>
        <w:rPr>
          <w:rFonts w:eastAsia="仿宋_GB2312"/>
          <w:sz w:val="32"/>
          <w:szCs w:val="32"/>
          <w:highlight w:val="none"/>
          <w:u w:val="none"/>
        </w:rPr>
        <w:t>7#</w:t>
      </w:r>
      <w:bookmarkEnd w:id="40"/>
      <w:r>
        <w:rPr>
          <w:rFonts w:hint="eastAsia" w:eastAsia="仿宋_GB2312"/>
          <w:sz w:val="32"/>
          <w:szCs w:val="32"/>
          <w:highlight w:val="none"/>
          <w:u w:val="none"/>
        </w:rPr>
        <w:t>，</w:t>
      </w:r>
      <w:r>
        <w:rPr>
          <w:rFonts w:eastAsia="仿宋_GB2312"/>
          <w:sz w:val="32"/>
          <w:szCs w:val="32"/>
          <w:highlight w:val="none"/>
          <w:u w:val="none"/>
        </w:rPr>
        <w:t>504</w:t>
      </w:r>
      <w:r>
        <w:rPr>
          <w:rFonts w:hint="eastAsia" w:eastAsia="仿宋_GB2312"/>
          <w:color w:val="000000"/>
          <w:sz w:val="32"/>
          <w:szCs w:val="32"/>
          <w:highlight w:val="none"/>
          <w:u w:val="none"/>
        </w:rPr>
        <w:t>室</w:t>
      </w:r>
      <w:r>
        <w:rPr>
          <w:rFonts w:hint="eastAsia" w:eastAsia="仿宋_GB2312"/>
          <w:color w:val="000000"/>
          <w:sz w:val="32"/>
          <w:szCs w:val="32"/>
          <w:u w:val="none"/>
        </w:rPr>
        <w:t>。</w:t>
      </w:r>
      <w:r>
        <w:rPr>
          <w:rFonts w:eastAsia="仿宋_GB2312"/>
          <w:sz w:val="32"/>
          <w:szCs w:val="32"/>
        </w:rPr>
        <w:t>本次采购不接受邮寄的响应文件。</w:t>
      </w:r>
    </w:p>
    <w:p>
      <w:pPr>
        <w:spacing w:line="560" w:lineRule="exact"/>
        <w:ind w:firstLine="640" w:firstLineChars="200"/>
        <w:rPr>
          <w:rFonts w:eastAsia="仿宋_GB2312"/>
          <w:sz w:val="32"/>
          <w:szCs w:val="32"/>
        </w:rPr>
      </w:pPr>
      <w:r>
        <w:rPr>
          <w:rFonts w:ascii="黑体" w:hAnsi="黑体" w:eastAsia="黑体" w:cs="黑体"/>
          <w:sz w:val="32"/>
          <w:szCs w:val="32"/>
        </w:rPr>
        <w:t>10.</w:t>
      </w:r>
      <w:r>
        <w:rPr>
          <w:rFonts w:hint="eastAsia" w:ascii="黑体" w:hAnsi="黑体" w:eastAsia="黑体" w:cs="黑体"/>
          <w:sz w:val="32"/>
          <w:szCs w:val="32"/>
        </w:rPr>
        <w:t>响应文件开启时间</w:t>
      </w:r>
    </w:p>
    <w:p>
      <w:pPr>
        <w:spacing w:line="560" w:lineRule="exact"/>
        <w:ind w:firstLine="640" w:firstLineChars="200"/>
        <w:rPr>
          <w:rFonts w:eastAsia="仿宋_GB2312"/>
          <w:color w:val="auto"/>
          <w:sz w:val="32"/>
          <w:szCs w:val="32"/>
          <w:highlight w:val="none"/>
        </w:rPr>
      </w:pPr>
      <w:r>
        <w:rPr>
          <w:rFonts w:hint="eastAsia" w:eastAsia="仿宋_GB2312"/>
          <w:color w:val="auto"/>
          <w:sz w:val="32"/>
          <w:szCs w:val="32"/>
          <w:highlight w:val="none"/>
          <w:u w:val="none"/>
          <w:lang w:val="en-US" w:eastAsia="zh-CN"/>
        </w:rPr>
        <w:t>2023</w:t>
      </w:r>
      <w:r>
        <w:rPr>
          <w:rFonts w:hint="eastAsia" w:eastAsia="仿宋_GB2312"/>
          <w:color w:val="auto"/>
          <w:sz w:val="32"/>
          <w:szCs w:val="32"/>
          <w:highlight w:val="none"/>
          <w:u w:val="none"/>
        </w:rPr>
        <w:t>年</w:t>
      </w:r>
      <w:r>
        <w:rPr>
          <w:rFonts w:hint="eastAsia" w:eastAsia="仿宋_GB2312"/>
          <w:color w:val="auto"/>
          <w:sz w:val="32"/>
          <w:szCs w:val="32"/>
          <w:highlight w:val="none"/>
          <w:u w:val="none"/>
          <w:lang w:val="en-US" w:eastAsia="zh-CN"/>
        </w:rPr>
        <w:t>10</w:t>
      </w:r>
      <w:r>
        <w:rPr>
          <w:rFonts w:hint="eastAsia" w:eastAsia="仿宋_GB2312"/>
          <w:color w:val="auto"/>
          <w:sz w:val="32"/>
          <w:szCs w:val="32"/>
          <w:highlight w:val="none"/>
          <w:u w:val="none"/>
        </w:rPr>
        <w:t>月</w:t>
      </w:r>
      <w:r>
        <w:rPr>
          <w:rFonts w:hint="eastAsia" w:eastAsia="仿宋_GB2312"/>
          <w:color w:val="auto"/>
          <w:sz w:val="32"/>
          <w:szCs w:val="32"/>
          <w:highlight w:val="none"/>
          <w:u w:val="none"/>
          <w:lang w:val="en-US" w:eastAsia="zh-CN"/>
        </w:rPr>
        <w:t>10</w:t>
      </w:r>
      <w:r>
        <w:rPr>
          <w:rFonts w:hint="eastAsia" w:eastAsia="仿宋_GB2312"/>
          <w:color w:val="auto"/>
          <w:sz w:val="32"/>
          <w:szCs w:val="32"/>
          <w:highlight w:val="none"/>
          <w:u w:val="none"/>
        </w:rPr>
        <w:t>日</w:t>
      </w:r>
      <w:r>
        <w:rPr>
          <w:rFonts w:hint="eastAsia" w:eastAsia="仿宋_GB2312"/>
          <w:color w:val="auto"/>
          <w:sz w:val="32"/>
          <w:szCs w:val="32"/>
          <w:highlight w:val="none"/>
          <w:u w:val="none"/>
          <w:lang w:val="en-US" w:eastAsia="zh-CN"/>
        </w:rPr>
        <w:t>10</w:t>
      </w:r>
      <w:r>
        <w:rPr>
          <w:rFonts w:hint="eastAsia" w:eastAsia="仿宋_GB2312"/>
          <w:color w:val="auto"/>
          <w:sz w:val="32"/>
          <w:szCs w:val="32"/>
          <w:highlight w:val="none"/>
          <w:u w:val="none"/>
        </w:rPr>
        <w:t>点</w:t>
      </w:r>
      <w:r>
        <w:rPr>
          <w:rFonts w:hint="eastAsia" w:eastAsia="仿宋_GB2312"/>
          <w:color w:val="auto"/>
          <w:sz w:val="32"/>
          <w:szCs w:val="32"/>
          <w:highlight w:val="none"/>
          <w:u w:val="none"/>
          <w:lang w:val="en-US" w:eastAsia="zh-CN"/>
        </w:rPr>
        <w:t>00</w:t>
      </w:r>
      <w:r>
        <w:rPr>
          <w:rFonts w:hint="eastAsia" w:eastAsia="仿宋_GB2312"/>
          <w:color w:val="auto"/>
          <w:sz w:val="32"/>
          <w:szCs w:val="32"/>
          <w:highlight w:val="none"/>
          <w:u w:val="none"/>
        </w:rPr>
        <w:t>分（北京时间</w:t>
      </w:r>
      <w:r>
        <w:rPr>
          <w:rFonts w:hint="eastAsia" w:eastAsia="仿宋_GB2312"/>
          <w:color w:val="auto"/>
          <w:sz w:val="32"/>
          <w:szCs w:val="32"/>
          <w:highlight w:val="none"/>
        </w:rPr>
        <w:t>）在谈判地点开启。</w:t>
      </w:r>
    </w:p>
    <w:p>
      <w:pPr>
        <w:spacing w:line="560" w:lineRule="exact"/>
        <w:ind w:firstLine="640" w:firstLineChars="200"/>
        <w:rPr>
          <w:rFonts w:eastAsia="仿宋_GB2312"/>
          <w:color w:val="auto"/>
          <w:sz w:val="32"/>
          <w:szCs w:val="32"/>
          <w:highlight w:val="none"/>
        </w:rPr>
      </w:pPr>
      <w:r>
        <w:rPr>
          <w:rFonts w:ascii="黑体" w:hAnsi="黑体" w:eastAsia="黑体" w:cs="黑体"/>
          <w:color w:val="auto"/>
          <w:sz w:val="32"/>
          <w:szCs w:val="32"/>
          <w:highlight w:val="none"/>
        </w:rPr>
        <w:t>11.</w:t>
      </w:r>
      <w:r>
        <w:rPr>
          <w:rFonts w:hint="eastAsia" w:ascii="黑体" w:hAnsi="黑体" w:eastAsia="黑体" w:cs="黑体"/>
          <w:color w:val="auto"/>
          <w:sz w:val="32"/>
          <w:szCs w:val="32"/>
          <w:highlight w:val="none"/>
        </w:rPr>
        <w:t>谈判地点</w:t>
      </w:r>
      <w:bookmarkStart w:id="62" w:name="_GoBack"/>
      <w:bookmarkEnd w:id="62"/>
    </w:p>
    <w:p>
      <w:pPr>
        <w:spacing w:line="560" w:lineRule="exact"/>
        <w:ind w:firstLine="640" w:firstLineChars="200"/>
        <w:rPr>
          <w:rFonts w:eastAsia="仿宋_GB2312"/>
          <w:color w:val="auto"/>
          <w:sz w:val="32"/>
          <w:szCs w:val="32"/>
          <w:highlight w:val="none"/>
        </w:rPr>
      </w:pPr>
      <w:bookmarkStart w:id="41" w:name="_Hlk139978128"/>
      <w:r>
        <w:rPr>
          <w:rFonts w:hint="eastAsia" w:eastAsia="仿宋_GB2312"/>
          <w:color w:val="auto"/>
          <w:sz w:val="32"/>
          <w:szCs w:val="32"/>
          <w:highlight w:val="none"/>
          <w:u w:val="none"/>
        </w:rPr>
        <w:t>四川省彭州市天彭街道东南市街6</w:t>
      </w:r>
      <w:r>
        <w:rPr>
          <w:rFonts w:eastAsia="仿宋_GB2312"/>
          <w:color w:val="auto"/>
          <w:sz w:val="32"/>
          <w:szCs w:val="32"/>
          <w:highlight w:val="none"/>
          <w:u w:val="none"/>
        </w:rPr>
        <w:t>7#</w:t>
      </w:r>
      <w:bookmarkEnd w:id="41"/>
      <w:r>
        <w:rPr>
          <w:rFonts w:hint="eastAsia" w:eastAsia="仿宋_GB2312"/>
          <w:color w:val="auto"/>
          <w:sz w:val="32"/>
          <w:szCs w:val="32"/>
          <w:highlight w:val="none"/>
          <w:u w:val="none"/>
        </w:rPr>
        <w:t>（</w:t>
      </w:r>
      <w:r>
        <w:rPr>
          <w:rFonts w:hint="eastAsia" w:eastAsia="仿宋_GB2312"/>
          <w:color w:val="auto"/>
          <w:sz w:val="32"/>
          <w:szCs w:val="32"/>
          <w:highlight w:val="none"/>
          <w:u w:val="none"/>
          <w:lang w:val="zh-CN"/>
        </w:rPr>
        <w:t>四</w:t>
      </w:r>
      <w:r>
        <w:rPr>
          <w:rFonts w:hint="eastAsia" w:eastAsia="仿宋_GB2312"/>
          <w:color w:val="auto"/>
          <w:sz w:val="32"/>
          <w:szCs w:val="32"/>
          <w:highlight w:val="none"/>
          <w:lang w:val="zh-CN"/>
        </w:rPr>
        <w:t>川省都江堰水利发展中心人民渠第一管理处</w:t>
      </w:r>
      <w:r>
        <w:rPr>
          <w:rFonts w:hint="eastAsia" w:eastAsia="仿宋_GB2312"/>
          <w:color w:val="auto"/>
          <w:sz w:val="32"/>
          <w:szCs w:val="32"/>
          <w:highlight w:val="none"/>
          <w:u w:val="none"/>
        </w:rPr>
        <w:t>）</w:t>
      </w:r>
      <w:r>
        <w:rPr>
          <w:rFonts w:hint="eastAsia" w:eastAsia="仿宋_GB2312"/>
          <w:color w:val="auto"/>
          <w:sz w:val="32"/>
          <w:szCs w:val="32"/>
          <w:highlight w:val="none"/>
        </w:rPr>
        <w:t>。</w:t>
      </w:r>
    </w:p>
    <w:p>
      <w:pPr>
        <w:spacing w:line="560" w:lineRule="exact"/>
        <w:ind w:firstLine="640" w:firstLineChars="200"/>
        <w:rPr>
          <w:rFonts w:ascii="黑体" w:hAnsi="黑体" w:eastAsia="黑体" w:cs="黑体"/>
          <w:color w:val="auto"/>
          <w:sz w:val="32"/>
          <w:szCs w:val="32"/>
          <w:highlight w:val="none"/>
        </w:rPr>
      </w:pPr>
      <w:r>
        <w:rPr>
          <w:rFonts w:ascii="黑体" w:hAnsi="黑体" w:eastAsia="黑体" w:cs="黑体"/>
          <w:color w:val="auto"/>
          <w:sz w:val="32"/>
          <w:szCs w:val="32"/>
          <w:highlight w:val="none"/>
        </w:rPr>
        <w:t>12.</w:t>
      </w:r>
      <w:r>
        <w:rPr>
          <w:rFonts w:hint="eastAsia" w:ascii="黑体" w:hAnsi="黑体" w:eastAsia="黑体" w:cs="黑体"/>
          <w:color w:val="auto"/>
          <w:sz w:val="32"/>
          <w:szCs w:val="32"/>
          <w:highlight w:val="none"/>
        </w:rPr>
        <w:t>质疑、询问受理</w:t>
      </w:r>
    </w:p>
    <w:p>
      <w:pPr>
        <w:spacing w:line="560" w:lineRule="exact"/>
        <w:ind w:firstLine="640" w:firstLineChars="200"/>
        <w:rPr>
          <w:rFonts w:eastAsia="仿宋_GB2312"/>
          <w:sz w:val="32"/>
          <w:szCs w:val="32"/>
          <w:u w:val="none"/>
        </w:rPr>
      </w:pPr>
      <w:r>
        <w:rPr>
          <w:rFonts w:hint="eastAsia" w:eastAsia="仿宋_GB2312"/>
          <w:color w:val="auto"/>
          <w:sz w:val="32"/>
          <w:szCs w:val="32"/>
          <w:highlight w:val="none"/>
          <w:u w:val="none"/>
        </w:rPr>
        <w:t>四川省彭州市天彭街道东南市街6</w:t>
      </w:r>
      <w:r>
        <w:rPr>
          <w:rFonts w:eastAsia="仿宋_GB2312"/>
          <w:color w:val="auto"/>
          <w:sz w:val="32"/>
          <w:szCs w:val="32"/>
          <w:highlight w:val="none"/>
          <w:u w:val="none"/>
        </w:rPr>
        <w:t>7#，504室</w:t>
      </w:r>
      <w:r>
        <w:rPr>
          <w:rFonts w:hint="eastAsia" w:eastAsia="仿宋_GB2312"/>
          <w:color w:val="auto"/>
          <w:sz w:val="32"/>
          <w:szCs w:val="32"/>
          <w:highlight w:val="none"/>
          <w:u w:val="none"/>
        </w:rPr>
        <w:t>；</w:t>
      </w:r>
      <w:r>
        <w:rPr>
          <w:rFonts w:eastAsia="仿宋_GB2312"/>
          <w:color w:val="auto"/>
          <w:sz w:val="32"/>
          <w:szCs w:val="32"/>
          <w:highlight w:val="none"/>
          <w:u w:val="none"/>
        </w:rPr>
        <w:t>联系人：</w:t>
      </w:r>
      <w:r>
        <w:rPr>
          <w:rFonts w:hint="eastAsia" w:eastAsia="仿宋_GB2312"/>
          <w:color w:val="auto"/>
          <w:sz w:val="32"/>
          <w:szCs w:val="32"/>
          <w:highlight w:val="none"/>
          <w:u w:val="none"/>
          <w:lang w:val="en-US" w:eastAsia="zh-CN"/>
        </w:rPr>
        <w:t>贾</w:t>
      </w:r>
      <w:r>
        <w:rPr>
          <w:rFonts w:eastAsia="仿宋_GB2312"/>
          <w:color w:val="auto"/>
          <w:sz w:val="32"/>
          <w:szCs w:val="32"/>
          <w:highlight w:val="none"/>
          <w:u w:val="none"/>
        </w:rPr>
        <w:t>老师，联系电话：</w:t>
      </w:r>
      <w:r>
        <w:rPr>
          <w:rFonts w:hint="eastAsia" w:eastAsia="仿宋_GB2312"/>
          <w:color w:val="auto"/>
          <w:sz w:val="32"/>
          <w:szCs w:val="32"/>
          <w:highlight w:val="none"/>
          <w:u w:val="none"/>
          <w:lang w:val="en-US" w:eastAsia="zh-CN"/>
        </w:rPr>
        <w:t>15184472065</w:t>
      </w:r>
      <w:r>
        <w:rPr>
          <w:rFonts w:eastAsia="仿宋_GB2312"/>
          <w:color w:val="auto"/>
          <w:sz w:val="32"/>
          <w:szCs w:val="32"/>
          <w:highlight w:val="none"/>
          <w:u w:val="none"/>
        </w:rPr>
        <w:t>。</w:t>
      </w:r>
      <w:r>
        <w:rPr>
          <w:rFonts w:hint="eastAsia" w:eastAsia="仿宋_GB2312"/>
          <w:sz w:val="32"/>
          <w:szCs w:val="32"/>
          <w:u w:val="none"/>
        </w:rPr>
        <w:t>（只接受书面质疑、询问）</w:t>
      </w:r>
    </w:p>
    <w:p>
      <w:pPr>
        <w:spacing w:line="560" w:lineRule="exact"/>
        <w:ind w:firstLine="640" w:firstLineChars="200"/>
        <w:rPr>
          <w:rFonts w:ascii="黑体" w:hAnsi="黑体" w:eastAsia="黑体" w:cs="黑体"/>
          <w:sz w:val="32"/>
          <w:szCs w:val="32"/>
        </w:rPr>
      </w:pPr>
      <w:r>
        <w:rPr>
          <w:rFonts w:ascii="黑体" w:hAnsi="黑体" w:eastAsia="黑体" w:cs="黑体"/>
          <w:sz w:val="32"/>
          <w:szCs w:val="32"/>
        </w:rPr>
        <w:t>13.</w:t>
      </w:r>
      <w:r>
        <w:rPr>
          <w:rFonts w:hint="eastAsia" w:ascii="黑体" w:hAnsi="黑体" w:eastAsia="黑体" w:cs="黑体"/>
          <w:sz w:val="32"/>
          <w:szCs w:val="32"/>
        </w:rPr>
        <w:t>投诉受理</w:t>
      </w:r>
    </w:p>
    <w:p>
      <w:pPr>
        <w:spacing w:line="560" w:lineRule="exact"/>
        <w:ind w:firstLine="640" w:firstLineChars="200"/>
        <w:rPr>
          <w:rFonts w:eastAsia="仿宋_GB2312"/>
          <w:color w:val="000000"/>
          <w:sz w:val="32"/>
          <w:szCs w:val="32"/>
        </w:rPr>
      </w:pPr>
      <w:r>
        <w:rPr>
          <w:rFonts w:hint="eastAsia" w:eastAsia="仿宋_GB2312"/>
          <w:color w:val="000000"/>
          <w:sz w:val="32"/>
          <w:szCs w:val="32"/>
        </w:rPr>
        <w:t>四川省都江堰水利发展中心纪审处</w:t>
      </w:r>
      <w:r>
        <w:rPr>
          <w:rFonts w:hint="eastAsia" w:eastAsia="仿宋_GB2312"/>
          <w:sz w:val="32"/>
          <w:szCs w:val="32"/>
        </w:rPr>
        <w:t>（只接受书面投诉）。</w:t>
      </w:r>
    </w:p>
    <w:p>
      <w:pPr>
        <w:spacing w:line="560" w:lineRule="exact"/>
        <w:ind w:firstLine="640" w:firstLineChars="200"/>
        <w:rPr>
          <w:rFonts w:ascii="黑体" w:hAnsi="黑体" w:eastAsia="黑体" w:cs="黑体"/>
          <w:sz w:val="32"/>
          <w:szCs w:val="32"/>
        </w:rPr>
      </w:pPr>
      <w:r>
        <w:rPr>
          <w:rFonts w:ascii="黑体" w:hAnsi="黑体" w:eastAsia="黑体" w:cs="黑体"/>
          <w:sz w:val="32"/>
          <w:szCs w:val="32"/>
        </w:rPr>
        <w:t>14.</w:t>
      </w:r>
      <w:r>
        <w:rPr>
          <w:rFonts w:hint="eastAsia" w:ascii="黑体" w:hAnsi="黑体" w:eastAsia="黑体" w:cs="黑体"/>
          <w:sz w:val="32"/>
          <w:szCs w:val="32"/>
        </w:rPr>
        <w:t>谈判费用</w:t>
      </w:r>
    </w:p>
    <w:p>
      <w:pPr>
        <w:spacing w:line="560" w:lineRule="exact"/>
        <w:ind w:firstLine="643" w:firstLineChars="200"/>
        <w:rPr>
          <w:rFonts w:eastAsia="仿宋_GB2312"/>
          <w:color w:val="000000"/>
          <w:sz w:val="32"/>
          <w:szCs w:val="32"/>
        </w:rPr>
      </w:pPr>
      <w:r>
        <w:rPr>
          <w:rFonts w:eastAsia="仿宋_GB2312"/>
          <w:b/>
          <w:bCs/>
          <w:color w:val="000000"/>
          <w:sz w:val="32"/>
          <w:szCs w:val="32"/>
        </w:rPr>
        <w:t>14.1</w:t>
      </w:r>
      <w:r>
        <w:rPr>
          <w:rFonts w:hint="eastAsia" w:eastAsia="仿宋_GB2312"/>
          <w:b/>
          <w:bCs/>
          <w:color w:val="000000"/>
          <w:sz w:val="32"/>
          <w:szCs w:val="32"/>
        </w:rPr>
        <w:t>谈判保证金</w:t>
      </w:r>
      <w:r>
        <w:rPr>
          <w:rFonts w:hint="eastAsia" w:eastAsia="仿宋_GB2312"/>
          <w:color w:val="000000"/>
          <w:sz w:val="32"/>
          <w:szCs w:val="32"/>
        </w:rPr>
        <w:t>：不收取谈判保证金。</w:t>
      </w:r>
    </w:p>
    <w:p>
      <w:pPr>
        <w:spacing w:line="560" w:lineRule="exact"/>
        <w:ind w:firstLine="643" w:firstLineChars="200"/>
        <w:rPr>
          <w:rFonts w:eastAsia="仿宋_GB2312"/>
          <w:color w:val="000000"/>
          <w:sz w:val="32"/>
          <w:szCs w:val="32"/>
        </w:rPr>
      </w:pPr>
      <w:r>
        <w:rPr>
          <w:rFonts w:eastAsia="仿宋_GB2312"/>
          <w:b/>
          <w:bCs/>
          <w:color w:val="000000"/>
          <w:sz w:val="32"/>
          <w:szCs w:val="32"/>
        </w:rPr>
        <w:t>14.2</w:t>
      </w:r>
      <w:r>
        <w:rPr>
          <w:rFonts w:hint="eastAsia" w:eastAsia="仿宋_GB2312"/>
          <w:b/>
          <w:bCs/>
          <w:color w:val="000000"/>
          <w:sz w:val="32"/>
          <w:szCs w:val="32"/>
        </w:rPr>
        <w:t>其他费用</w:t>
      </w:r>
      <w:r>
        <w:rPr>
          <w:rFonts w:hint="eastAsia" w:eastAsia="仿宋_GB2312"/>
          <w:color w:val="000000"/>
          <w:sz w:val="32"/>
          <w:szCs w:val="32"/>
        </w:rPr>
        <w:t>：供应商应自行承担参加谈判活动的全部费用。</w:t>
      </w:r>
    </w:p>
    <w:p>
      <w:pPr>
        <w:spacing w:line="560" w:lineRule="exact"/>
        <w:ind w:firstLine="640" w:firstLineChars="200"/>
        <w:rPr>
          <w:rFonts w:ascii="黑体" w:hAnsi="黑体" w:eastAsia="黑体" w:cs="黑体"/>
          <w:color w:val="auto"/>
          <w:sz w:val="32"/>
          <w:szCs w:val="32"/>
          <w:highlight w:val="none"/>
        </w:rPr>
      </w:pPr>
      <w:r>
        <w:rPr>
          <w:rFonts w:ascii="黑体" w:hAnsi="黑体" w:eastAsia="黑体" w:cs="黑体"/>
          <w:color w:val="auto"/>
          <w:sz w:val="32"/>
          <w:szCs w:val="32"/>
          <w:highlight w:val="none"/>
        </w:rPr>
        <w:t>15.</w:t>
      </w:r>
      <w:r>
        <w:rPr>
          <w:rFonts w:hint="eastAsia" w:ascii="黑体" w:hAnsi="黑体" w:eastAsia="黑体" w:cs="黑体"/>
          <w:color w:val="auto"/>
          <w:sz w:val="32"/>
          <w:szCs w:val="32"/>
          <w:highlight w:val="none"/>
        </w:rPr>
        <w:t>联合体</w:t>
      </w:r>
    </w:p>
    <w:p>
      <w:pPr>
        <w:spacing w:line="560" w:lineRule="exact"/>
        <w:ind w:firstLine="640" w:firstLineChars="200"/>
        <w:rPr>
          <w:rFonts w:eastAsia="仿宋_GB2312"/>
          <w:color w:val="auto"/>
          <w:sz w:val="32"/>
          <w:szCs w:val="32"/>
          <w:highlight w:val="none"/>
          <w:u w:val="none"/>
        </w:rPr>
      </w:pPr>
      <w:r>
        <w:rPr>
          <w:rFonts w:hint="eastAsia" w:eastAsia="仿宋_GB2312"/>
          <w:color w:val="auto"/>
          <w:sz w:val="32"/>
          <w:szCs w:val="32"/>
          <w:highlight w:val="none"/>
          <w:u w:val="none"/>
        </w:rPr>
        <w:t>不接受。</w:t>
      </w:r>
    </w:p>
    <w:p>
      <w:pPr>
        <w:spacing w:line="560" w:lineRule="exact"/>
        <w:ind w:firstLine="640" w:firstLineChars="200"/>
        <w:rPr>
          <w:rFonts w:ascii="黑体" w:hAnsi="黑体" w:eastAsia="黑体" w:cs="黑体"/>
          <w:color w:val="auto"/>
          <w:sz w:val="32"/>
          <w:szCs w:val="32"/>
          <w:highlight w:val="none"/>
        </w:rPr>
      </w:pPr>
      <w:r>
        <w:rPr>
          <w:rFonts w:ascii="黑体" w:hAnsi="黑体" w:eastAsia="黑体" w:cs="黑体"/>
          <w:color w:val="auto"/>
          <w:sz w:val="32"/>
          <w:szCs w:val="32"/>
          <w:highlight w:val="none"/>
        </w:rPr>
        <w:t>1</w:t>
      </w:r>
      <w:r>
        <w:rPr>
          <w:rFonts w:hint="eastAsia" w:ascii="黑体" w:hAnsi="黑体" w:eastAsia="黑体" w:cs="黑体"/>
          <w:color w:val="auto"/>
          <w:sz w:val="32"/>
          <w:szCs w:val="32"/>
          <w:highlight w:val="none"/>
          <w:lang w:val="en-US" w:eastAsia="zh-CN"/>
        </w:rPr>
        <w:t>6</w:t>
      </w:r>
      <w:r>
        <w:rPr>
          <w:rFonts w:ascii="黑体" w:hAnsi="黑体" w:eastAsia="黑体" w:cs="黑体"/>
          <w:color w:val="auto"/>
          <w:sz w:val="32"/>
          <w:szCs w:val="32"/>
          <w:highlight w:val="none"/>
        </w:rPr>
        <w:t>.</w:t>
      </w:r>
      <w:r>
        <w:rPr>
          <w:rFonts w:hint="eastAsia" w:ascii="黑体" w:hAnsi="黑体" w:eastAsia="黑体" w:cs="黑体"/>
          <w:color w:val="auto"/>
          <w:sz w:val="32"/>
          <w:szCs w:val="32"/>
          <w:highlight w:val="none"/>
        </w:rPr>
        <w:t>联系方式</w:t>
      </w:r>
    </w:p>
    <w:p>
      <w:pPr>
        <w:spacing w:line="560" w:lineRule="exact"/>
        <w:ind w:firstLine="643" w:firstLineChars="200"/>
        <w:rPr>
          <w:rFonts w:eastAsia="仿宋_GB2312"/>
          <w:color w:val="auto"/>
          <w:sz w:val="32"/>
          <w:szCs w:val="32"/>
          <w:highlight w:val="none"/>
        </w:rPr>
      </w:pPr>
      <w:r>
        <w:rPr>
          <w:rFonts w:hint="eastAsia" w:eastAsia="仿宋_GB2312"/>
          <w:b/>
          <w:bCs/>
          <w:color w:val="auto"/>
          <w:sz w:val="32"/>
          <w:szCs w:val="32"/>
          <w:highlight w:val="none"/>
        </w:rPr>
        <w:t>联系人</w:t>
      </w:r>
      <w:r>
        <w:rPr>
          <w:rFonts w:hint="eastAsia" w:eastAsia="仿宋_GB2312"/>
          <w:color w:val="auto"/>
          <w:sz w:val="32"/>
          <w:szCs w:val="32"/>
          <w:highlight w:val="none"/>
        </w:rPr>
        <w:t>：</w:t>
      </w:r>
      <w:r>
        <w:rPr>
          <w:rFonts w:hint="eastAsia" w:eastAsia="仿宋_GB2312"/>
          <w:color w:val="auto"/>
          <w:sz w:val="32"/>
          <w:szCs w:val="32"/>
          <w:highlight w:val="none"/>
          <w:u w:val="none"/>
          <w:lang w:val="en-US" w:eastAsia="zh-CN"/>
        </w:rPr>
        <w:t>贾</w:t>
      </w:r>
      <w:r>
        <w:rPr>
          <w:rFonts w:eastAsia="仿宋_GB2312"/>
          <w:color w:val="auto"/>
          <w:sz w:val="32"/>
          <w:szCs w:val="32"/>
          <w:highlight w:val="none"/>
        </w:rPr>
        <w:t>老师</w:t>
      </w:r>
    </w:p>
    <w:p>
      <w:pPr>
        <w:spacing w:line="560" w:lineRule="exact"/>
        <w:ind w:firstLine="643" w:firstLineChars="200"/>
        <w:rPr>
          <w:rFonts w:eastAsia="仿宋_GB2312"/>
          <w:color w:val="auto"/>
          <w:sz w:val="32"/>
          <w:szCs w:val="32"/>
          <w:highlight w:val="none"/>
          <w:u w:val="none"/>
        </w:rPr>
      </w:pPr>
      <w:r>
        <w:rPr>
          <w:rFonts w:hint="eastAsia" w:eastAsia="仿宋_GB2312"/>
          <w:b/>
          <w:bCs/>
          <w:color w:val="auto"/>
          <w:sz w:val="32"/>
          <w:szCs w:val="32"/>
          <w:highlight w:val="none"/>
        </w:rPr>
        <w:t>联系电话</w:t>
      </w:r>
      <w:r>
        <w:rPr>
          <w:rFonts w:hint="eastAsia" w:eastAsia="仿宋_GB2312"/>
          <w:color w:val="auto"/>
          <w:sz w:val="32"/>
          <w:szCs w:val="32"/>
          <w:highlight w:val="none"/>
        </w:rPr>
        <w:t>：</w:t>
      </w:r>
      <w:r>
        <w:rPr>
          <w:rFonts w:hint="eastAsia" w:eastAsia="仿宋_GB2312"/>
          <w:color w:val="auto"/>
          <w:sz w:val="32"/>
          <w:szCs w:val="32"/>
          <w:highlight w:val="none"/>
          <w:u w:val="none"/>
          <w:lang w:val="en-US" w:eastAsia="zh-CN"/>
        </w:rPr>
        <w:t>15184472065</w:t>
      </w:r>
    </w:p>
    <w:p>
      <w:pPr>
        <w:spacing w:line="560" w:lineRule="exact"/>
        <w:ind w:firstLine="643" w:firstLineChars="200"/>
        <w:rPr>
          <w:rFonts w:eastAsia="仿宋_GB2312"/>
          <w:color w:val="auto"/>
          <w:sz w:val="32"/>
          <w:szCs w:val="32"/>
          <w:highlight w:val="none"/>
        </w:rPr>
      </w:pPr>
      <w:r>
        <w:rPr>
          <w:rFonts w:hint="eastAsia" w:eastAsia="仿宋_GB2312"/>
          <w:b/>
          <w:bCs/>
          <w:color w:val="auto"/>
          <w:sz w:val="32"/>
          <w:szCs w:val="32"/>
          <w:highlight w:val="none"/>
        </w:rPr>
        <w:t>邮箱</w:t>
      </w:r>
      <w:r>
        <w:rPr>
          <w:rFonts w:hint="eastAsia" w:eastAsia="仿宋_GB2312"/>
          <w:color w:val="auto"/>
          <w:sz w:val="32"/>
          <w:szCs w:val="32"/>
          <w:highlight w:val="none"/>
        </w:rPr>
        <w:t>：</w:t>
      </w:r>
      <w:r>
        <w:rPr>
          <w:rFonts w:hint="eastAsia" w:eastAsia="仿宋_GB2312"/>
          <w:color w:val="000000"/>
          <w:sz w:val="32"/>
          <w:szCs w:val="32"/>
        </w:rPr>
        <w:t>514158287</w:t>
      </w:r>
      <w:r>
        <w:rPr>
          <w:rFonts w:hint="eastAsia" w:eastAsia="仿宋_GB2312"/>
          <w:color w:val="000000"/>
          <w:sz w:val="32"/>
          <w:szCs w:val="32"/>
          <w:lang w:val="en-US" w:eastAsia="zh-CN"/>
        </w:rPr>
        <w:t>@qq.com</w:t>
      </w:r>
    </w:p>
    <w:p>
      <w:pPr>
        <w:pStyle w:val="3"/>
        <w:keepNext w:val="0"/>
        <w:keepLines w:val="0"/>
        <w:spacing w:line="240" w:lineRule="auto"/>
      </w:pPr>
      <w:r>
        <w:rPr>
          <w:rFonts w:eastAsia="仿宋"/>
          <w:b/>
          <w:bCs/>
        </w:rPr>
        <w:br w:type="page"/>
      </w:r>
      <w:bookmarkStart w:id="42" w:name="_Toc26815"/>
      <w:bookmarkStart w:id="43" w:name="_Toc11717"/>
      <w:bookmarkStart w:id="44" w:name="_Toc41037903"/>
      <w:bookmarkStart w:id="45" w:name="_Toc21223"/>
      <w:r>
        <w:rPr>
          <w:rFonts w:hint="eastAsia"/>
        </w:rPr>
        <w:t xml:space="preserve">第二章 </w:t>
      </w:r>
      <w:bookmarkEnd w:id="34"/>
      <w:bookmarkEnd w:id="35"/>
      <w:bookmarkEnd w:id="36"/>
      <w:bookmarkEnd w:id="37"/>
      <w:bookmarkEnd w:id="38"/>
      <w:bookmarkEnd w:id="39"/>
      <w:bookmarkEnd w:id="42"/>
      <w:bookmarkEnd w:id="43"/>
      <w:bookmarkEnd w:id="44"/>
      <w:bookmarkEnd w:id="45"/>
      <w:bookmarkStart w:id="46" w:name="_Toc14150"/>
      <w:bookmarkStart w:id="47" w:name="_Toc8643"/>
      <w:r>
        <w:rPr>
          <w:rFonts w:hint="eastAsia"/>
        </w:rPr>
        <w:t>供应商须知前附表</w:t>
      </w:r>
      <w:bookmarkEnd w:id="46"/>
      <w:bookmarkEnd w:id="47"/>
    </w:p>
    <w:p>
      <w:pPr>
        <w:jc w:val="center"/>
      </w:pPr>
    </w:p>
    <w:tbl>
      <w:tblPr>
        <w:tblStyle w:val="41"/>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8"/>
        <w:gridCol w:w="1536"/>
        <w:gridCol w:w="7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exact"/>
          <w:tblHeader/>
          <w:jc w:val="center"/>
        </w:trPr>
        <w:tc>
          <w:tcPr>
            <w:tcW w:w="908" w:type="dxa"/>
            <w:tcBorders>
              <w:tl2br w:val="nil"/>
              <w:tr2bl w:val="nil"/>
            </w:tcBorders>
            <w:vAlign w:val="center"/>
          </w:tcPr>
          <w:p>
            <w:pPr>
              <w:pStyle w:val="76"/>
              <w:spacing w:line="360" w:lineRule="exact"/>
              <w:ind w:left="9"/>
              <w:jc w:val="center"/>
              <w:rPr>
                <w:rFonts w:ascii="黑体" w:hAnsi="黑体" w:eastAsia="黑体" w:cs="黑体"/>
                <w:lang w:val="zh-CN"/>
              </w:rPr>
            </w:pPr>
            <w:r>
              <w:rPr>
                <w:rFonts w:hint="eastAsia" w:ascii="黑体" w:hAnsi="黑体" w:eastAsia="黑体" w:cs="黑体"/>
                <w:lang w:val="zh-CN"/>
              </w:rPr>
              <w:t>序号</w:t>
            </w:r>
          </w:p>
        </w:tc>
        <w:tc>
          <w:tcPr>
            <w:tcW w:w="1536" w:type="dxa"/>
            <w:tcBorders>
              <w:tl2br w:val="nil"/>
              <w:tr2bl w:val="nil"/>
            </w:tcBorders>
            <w:vAlign w:val="center"/>
          </w:tcPr>
          <w:p>
            <w:pPr>
              <w:pStyle w:val="76"/>
              <w:spacing w:line="360" w:lineRule="exact"/>
              <w:ind w:left="38"/>
              <w:jc w:val="center"/>
              <w:rPr>
                <w:rFonts w:ascii="黑体" w:hAnsi="黑体" w:eastAsia="黑体" w:cs="黑体"/>
                <w:lang w:val="zh-CN"/>
              </w:rPr>
            </w:pPr>
            <w:r>
              <w:rPr>
                <w:rFonts w:hint="eastAsia" w:ascii="黑体" w:hAnsi="黑体" w:eastAsia="黑体" w:cs="黑体"/>
                <w:lang w:val="zh-CN"/>
              </w:rPr>
              <w:t>应知事项</w:t>
            </w:r>
          </w:p>
        </w:tc>
        <w:tc>
          <w:tcPr>
            <w:tcW w:w="7161" w:type="dxa"/>
            <w:tcBorders>
              <w:tl2br w:val="nil"/>
              <w:tr2bl w:val="nil"/>
            </w:tcBorders>
            <w:vAlign w:val="center"/>
          </w:tcPr>
          <w:p>
            <w:pPr>
              <w:pStyle w:val="76"/>
              <w:spacing w:line="360" w:lineRule="exact"/>
              <w:jc w:val="center"/>
              <w:rPr>
                <w:rFonts w:ascii="黑体" w:hAnsi="黑体" w:eastAsia="黑体" w:cs="黑体"/>
                <w:lang w:val="zh-CN"/>
              </w:rPr>
            </w:pPr>
            <w:r>
              <w:rPr>
                <w:rFonts w:hint="eastAsia" w:ascii="黑体" w:hAnsi="黑体" w:eastAsia="黑体" w:cs="黑体"/>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8" w:type="dxa"/>
            <w:tcBorders>
              <w:tl2br w:val="nil"/>
              <w:tr2bl w:val="nil"/>
            </w:tcBorders>
            <w:vAlign w:val="center"/>
          </w:tcPr>
          <w:p>
            <w:pPr>
              <w:pStyle w:val="76"/>
              <w:spacing w:line="360" w:lineRule="exact"/>
              <w:ind w:right="230"/>
              <w:jc w:val="center"/>
              <w:rPr>
                <w:rFonts w:ascii="Times New Roman" w:hAnsi="Times New Roman" w:eastAsia="仿宋" w:cs="Times New Roman"/>
              </w:rPr>
            </w:pPr>
            <w:r>
              <w:rPr>
                <w:rFonts w:ascii="Times New Roman" w:hAnsi="Times New Roman" w:eastAsia="仿宋" w:cs="Times New Roman"/>
              </w:rPr>
              <w:t>1</w:t>
            </w:r>
          </w:p>
        </w:tc>
        <w:tc>
          <w:tcPr>
            <w:tcW w:w="1536" w:type="dxa"/>
            <w:tcBorders>
              <w:tl2br w:val="nil"/>
              <w:tr2bl w:val="nil"/>
            </w:tcBorders>
            <w:vAlign w:val="center"/>
          </w:tcPr>
          <w:p>
            <w:pPr>
              <w:pStyle w:val="76"/>
              <w:spacing w:line="360" w:lineRule="exact"/>
              <w:ind w:left="38"/>
              <w:jc w:val="center"/>
              <w:rPr>
                <w:rFonts w:ascii="Times New Roman" w:hAnsi="Times New Roman" w:eastAsia="仿宋" w:cs="Times New Roman"/>
                <w:lang w:val="zh-CN"/>
              </w:rPr>
            </w:pPr>
            <w:r>
              <w:rPr>
                <w:rFonts w:hint="eastAsia" w:ascii="Times New Roman" w:hAnsi="Times New Roman" w:eastAsia="仿宋" w:cs="Times New Roman"/>
                <w:lang w:val="zh-CN"/>
              </w:rPr>
              <w:t>控制价</w:t>
            </w:r>
          </w:p>
          <w:p>
            <w:pPr>
              <w:pStyle w:val="76"/>
              <w:spacing w:line="360" w:lineRule="exact"/>
              <w:ind w:left="38"/>
              <w:jc w:val="center"/>
              <w:rPr>
                <w:rFonts w:ascii="Times New Roman" w:hAnsi="Times New Roman" w:eastAsia="仿宋" w:cs="Times New Roman"/>
                <w:lang w:val="zh-CN"/>
              </w:rPr>
            </w:pPr>
            <w:r>
              <w:rPr>
                <w:rFonts w:hint="eastAsia" w:ascii="Times New Roman" w:hAnsi="Times New Roman" w:eastAsia="仿宋" w:cs="Times New Roman"/>
                <w:lang w:val="zh-CN"/>
              </w:rPr>
              <w:t>（实质性要求）</w:t>
            </w:r>
          </w:p>
        </w:tc>
        <w:tc>
          <w:tcPr>
            <w:tcW w:w="7161" w:type="dxa"/>
            <w:tcBorders>
              <w:tl2br w:val="nil"/>
              <w:tr2bl w:val="nil"/>
            </w:tcBorders>
            <w:vAlign w:val="center"/>
          </w:tcPr>
          <w:p>
            <w:pPr>
              <w:pStyle w:val="76"/>
              <w:spacing w:line="360" w:lineRule="exact"/>
              <w:ind w:firstLine="480" w:firstLineChars="200"/>
              <w:jc w:val="both"/>
              <w:rPr>
                <w:rFonts w:ascii="Times New Roman" w:hAnsi="Times New Roman" w:eastAsia="仿宋" w:cs="Times New Roman"/>
                <w:lang w:val="zh-CN"/>
              </w:rPr>
            </w:pPr>
            <w:r>
              <w:rPr>
                <w:rFonts w:hint="eastAsia" w:ascii="Times New Roman" w:hAnsi="Times New Roman" w:eastAsia="仿宋" w:cs="Times New Roman"/>
                <w:lang w:val="zh-CN"/>
              </w:rPr>
              <w:t>控制价：</w:t>
            </w:r>
            <w:r>
              <w:rPr>
                <w:rFonts w:hint="default" w:ascii="Times New Roman" w:hAnsi="Times New Roman" w:eastAsia="仿宋" w:cs="Times New Roman"/>
                <w:sz w:val="24"/>
                <w:szCs w:val="24"/>
                <w:highlight w:val="none"/>
                <w:lang w:val="zh-CN"/>
              </w:rPr>
              <w:t>¥</w:t>
            </w:r>
            <w:r>
              <w:rPr>
                <w:rFonts w:hint="eastAsia" w:ascii="Times New Roman" w:hAnsi="Times New Roman" w:eastAsia="仿宋" w:cs="Times New Roman"/>
                <w:u w:val="single"/>
                <w:lang w:val="en-US" w:eastAsia="zh-CN"/>
              </w:rPr>
              <w:t>112656.00</w:t>
            </w:r>
            <w:r>
              <w:rPr>
                <w:rFonts w:hint="eastAsia" w:ascii="Times New Roman" w:hAnsi="Times New Roman" w:eastAsia="仿宋" w:cs="Times New Roman"/>
                <w:lang w:val="zh-CN"/>
              </w:rPr>
              <w:t>元（人民币）</w:t>
            </w:r>
          </w:p>
          <w:p>
            <w:pPr>
              <w:pStyle w:val="76"/>
              <w:spacing w:line="360" w:lineRule="exact"/>
              <w:ind w:firstLine="480" w:firstLineChars="200"/>
              <w:jc w:val="both"/>
              <w:rPr>
                <w:rFonts w:ascii="Times New Roman" w:hAnsi="Times New Roman" w:eastAsia="仿宋" w:cs="Times New Roman"/>
                <w:lang w:val="zh-CN"/>
              </w:rPr>
            </w:pPr>
            <w:r>
              <w:rPr>
                <w:rFonts w:hint="eastAsia" w:ascii="Times New Roman" w:hAnsi="Times New Roman" w:eastAsia="仿宋" w:cs="Times New Roman"/>
                <w:lang w:val="zh-CN"/>
              </w:rPr>
              <w:t>报价超过最高限价</w:t>
            </w:r>
            <w:r>
              <w:rPr>
                <w:rFonts w:ascii="Times New Roman" w:hAnsi="Times New Roman" w:eastAsia="仿宋" w:cs="Times New Roman"/>
                <w:lang w:val="zh-CN"/>
              </w:rPr>
              <w:t>,其响应文件按无效处理。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26" w:hRule="atLeast"/>
          <w:jc w:val="center"/>
        </w:trPr>
        <w:tc>
          <w:tcPr>
            <w:tcW w:w="908" w:type="dxa"/>
            <w:tcBorders>
              <w:tl2br w:val="nil"/>
              <w:tr2bl w:val="nil"/>
            </w:tcBorders>
            <w:vAlign w:val="center"/>
          </w:tcPr>
          <w:p>
            <w:pPr>
              <w:pStyle w:val="76"/>
              <w:spacing w:line="360" w:lineRule="exact"/>
              <w:ind w:right="230"/>
              <w:jc w:val="center"/>
              <w:rPr>
                <w:rFonts w:ascii="Times New Roman" w:hAnsi="Times New Roman" w:eastAsia="仿宋" w:cs="Times New Roman"/>
                <w:lang w:val="zh-CN"/>
              </w:rPr>
            </w:pPr>
            <w:r>
              <w:rPr>
                <w:rFonts w:ascii="Times New Roman" w:hAnsi="Times New Roman" w:eastAsia="仿宋" w:cs="Times New Roman"/>
              </w:rPr>
              <w:t>2</w:t>
            </w:r>
          </w:p>
        </w:tc>
        <w:tc>
          <w:tcPr>
            <w:tcW w:w="1536" w:type="dxa"/>
            <w:tcBorders>
              <w:tl2br w:val="nil"/>
              <w:tr2bl w:val="nil"/>
            </w:tcBorders>
            <w:vAlign w:val="center"/>
          </w:tcPr>
          <w:p>
            <w:pPr>
              <w:pStyle w:val="76"/>
              <w:spacing w:line="360" w:lineRule="exact"/>
              <w:jc w:val="center"/>
              <w:rPr>
                <w:rFonts w:ascii="Times New Roman" w:hAnsi="Times New Roman" w:eastAsia="仿宋" w:cs="Times New Roman"/>
                <w:lang w:val="zh-CN" w:bidi="ar"/>
              </w:rPr>
            </w:pPr>
            <w:r>
              <w:rPr>
                <w:rFonts w:hint="eastAsia" w:ascii="Times New Roman" w:hAnsi="Times New Roman" w:eastAsia="仿宋" w:cs="Times New Roman"/>
                <w:lang w:val="zh-CN" w:bidi="ar"/>
              </w:rPr>
              <w:t>低于成本价</w:t>
            </w:r>
          </w:p>
          <w:p>
            <w:pPr>
              <w:pStyle w:val="76"/>
              <w:spacing w:line="360" w:lineRule="exact"/>
              <w:jc w:val="center"/>
              <w:rPr>
                <w:rFonts w:ascii="Times New Roman" w:hAnsi="Times New Roman" w:eastAsia="仿宋" w:cs="Times New Roman"/>
                <w:lang w:val="zh-CN" w:bidi="ar"/>
              </w:rPr>
            </w:pPr>
            <w:r>
              <w:rPr>
                <w:rFonts w:hint="eastAsia" w:ascii="Times New Roman" w:hAnsi="Times New Roman" w:eastAsia="仿宋" w:cs="Times New Roman"/>
                <w:lang w:val="zh-CN" w:bidi="ar"/>
              </w:rPr>
              <w:t>不正当竞争预防措施</w:t>
            </w:r>
          </w:p>
          <w:p>
            <w:pPr>
              <w:pStyle w:val="76"/>
              <w:spacing w:line="360" w:lineRule="exact"/>
              <w:jc w:val="center"/>
              <w:rPr>
                <w:rFonts w:ascii="Times New Roman" w:hAnsi="Times New Roman" w:eastAsia="仿宋" w:cs="Times New Roman"/>
                <w:lang w:val="zh-CN" w:bidi="ar"/>
              </w:rPr>
            </w:pPr>
            <w:r>
              <w:rPr>
                <w:rFonts w:hint="eastAsia" w:ascii="Times New Roman" w:hAnsi="Times New Roman" w:eastAsia="仿宋" w:cs="Times New Roman"/>
                <w:lang w:val="zh-CN" w:bidi="ar"/>
              </w:rPr>
              <w:t>（实质性要求）</w:t>
            </w:r>
          </w:p>
        </w:tc>
        <w:tc>
          <w:tcPr>
            <w:tcW w:w="7161" w:type="dxa"/>
            <w:tcBorders>
              <w:tl2br w:val="nil"/>
              <w:tr2bl w:val="nil"/>
            </w:tcBorders>
            <w:vAlign w:val="center"/>
          </w:tcPr>
          <w:tbl>
            <w:tblPr>
              <w:tblStyle w:val="41"/>
              <w:tblpPr w:leftFromText="180" w:rightFromText="180" w:vertAnchor="text" w:horzAnchor="page" w:tblpX="49" w:tblpY="-6418"/>
              <w:tblOverlap w:val="never"/>
              <w:tblW w:w="6960" w:type="dxa"/>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0" w:type="dxa"/>
                <w:bottom w:w="0" w:type="dxa"/>
                <w:right w:w="0" w:type="dxa"/>
              </w:tblCellMar>
            </w:tblPr>
            <w:tblGrid>
              <w:gridCol w:w="696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67" w:hRule="atLeast"/>
              </w:trPr>
              <w:tc>
                <w:tcPr>
                  <w:tcW w:w="6960" w:type="dxa"/>
                  <w:tcBorders>
                    <w:top w:val="nil"/>
                    <w:bottom w:val="nil"/>
                    <w:right w:val="nil"/>
                  </w:tcBorders>
                  <w:vAlign w:val="center"/>
                </w:tcPr>
                <w:p>
                  <w:pPr>
                    <w:pStyle w:val="76"/>
                    <w:spacing w:line="360" w:lineRule="exact"/>
                    <w:ind w:firstLine="480" w:firstLineChars="200"/>
                    <w:jc w:val="both"/>
                    <w:rPr>
                      <w:rFonts w:hint="default" w:ascii="Times New Roman" w:hAnsi="Times New Roman" w:eastAsia="仿宋" w:cs="Times New Roman"/>
                      <w:highlight w:val="none"/>
                      <w:lang w:val="zh-CN"/>
                    </w:rPr>
                  </w:pPr>
                  <w:r>
                    <w:rPr>
                      <w:rFonts w:hint="eastAsia" w:ascii="Times New Roman" w:hAnsi="Times New Roman" w:eastAsia="仿宋" w:cs="Times New Roman"/>
                      <w:kern w:val="2"/>
                      <w:sz w:val="24"/>
                      <w:szCs w:val="24"/>
                      <w:highlight w:val="none"/>
                      <w:lang w:val="en-US" w:eastAsia="zh-CN" w:bidi="ar"/>
                    </w:rPr>
                    <w:t>1.</w:t>
                  </w:r>
                  <w:r>
                    <w:rPr>
                      <w:rFonts w:hint="eastAsia" w:ascii="Times New Roman" w:hAnsi="Times New Roman" w:eastAsia="仿宋" w:cs="Times New Roman"/>
                      <w:kern w:val="2"/>
                      <w:highlight w:val="none"/>
                      <w:lang w:bidi="ar"/>
                    </w:rPr>
                    <w:t>供应商</w:t>
                  </w:r>
                  <w:r>
                    <w:rPr>
                      <w:rFonts w:hint="eastAsia" w:ascii="Times New Roman" w:hAnsi="Times New Roman" w:eastAsia="仿宋" w:cs="Times New Roman"/>
                      <w:kern w:val="2"/>
                      <w:highlight w:val="none"/>
                      <w:lang w:val="en-US" w:eastAsia="zh-CN" w:bidi="ar"/>
                    </w:rPr>
                    <w:t>最终</w:t>
                  </w:r>
                  <w:r>
                    <w:rPr>
                      <w:rFonts w:hint="eastAsia" w:ascii="Times New Roman" w:hAnsi="Times New Roman" w:eastAsia="仿宋" w:cs="Times New Roman"/>
                      <w:kern w:val="2"/>
                      <w:highlight w:val="none"/>
                      <w:lang w:bidi="ar"/>
                    </w:rPr>
                    <w:t>报价低于控制价85%或者低于其他有效供应商报价算术平均价85%</w:t>
                  </w:r>
                  <w:r>
                    <w:rPr>
                      <w:rFonts w:hint="default" w:ascii="Times New Roman" w:hAnsi="Times New Roman" w:eastAsia="仿宋" w:cs="Times New Roman"/>
                      <w:color w:val="auto"/>
                      <w:kern w:val="2"/>
                      <w:sz w:val="24"/>
                      <w:szCs w:val="24"/>
                      <w:highlight w:val="none"/>
                      <w:lang w:val="zh-CN" w:eastAsia="zh-CN" w:bidi="ar"/>
                    </w:rPr>
                    <w:t>，</w:t>
                  </w:r>
                  <w:r>
                    <w:rPr>
                      <w:rFonts w:hint="default" w:ascii="Times New Roman" w:hAnsi="Times New Roman" w:eastAsia="仿宋" w:cs="Times New Roman"/>
                      <w:highlight w:val="none"/>
                      <w:lang w:val="zh-CN"/>
                    </w:rPr>
                    <w:t>有可能影响</w:t>
                  </w:r>
                  <w:r>
                    <w:rPr>
                      <w:rFonts w:hint="default" w:ascii="Times New Roman" w:hAnsi="Times New Roman" w:eastAsia="仿宋" w:cs="Times New Roman"/>
                      <w:sz w:val="24"/>
                      <w:szCs w:val="24"/>
                      <w:highlight w:val="none"/>
                      <w:lang w:val="zh-CN"/>
                    </w:rPr>
                    <w:t>履约</w:t>
                  </w:r>
                  <w:r>
                    <w:rPr>
                      <w:rFonts w:hint="default" w:ascii="Times New Roman" w:hAnsi="Times New Roman" w:eastAsia="仿宋" w:cs="Times New Roman"/>
                      <w:highlight w:val="none"/>
                      <w:lang w:val="zh-CN"/>
                    </w:rPr>
                    <w:t>质量或者不能诚信履约的，应当要求其在评审现场</w:t>
                  </w:r>
                  <w:r>
                    <w:rPr>
                      <w:rFonts w:hint="eastAsia" w:ascii="Times New Roman" w:hAnsi="Times New Roman" w:eastAsia="仿宋" w:cs="Times New Roman"/>
                      <w:highlight w:val="none"/>
                      <w:lang w:val="en-US" w:eastAsia="zh-CN"/>
                    </w:rPr>
                    <w:t>1</w:t>
                  </w:r>
                  <w:r>
                    <w:rPr>
                      <w:rFonts w:hint="default" w:ascii="Times New Roman" w:hAnsi="Times New Roman" w:eastAsia="仿宋" w:cs="Times New Roman"/>
                      <w:sz w:val="24"/>
                      <w:szCs w:val="24"/>
                      <w:highlight w:val="none"/>
                      <w:lang w:val="zh-CN" w:eastAsia="zh-CN"/>
                    </w:rPr>
                    <w:t>个小时</w:t>
                  </w:r>
                  <w:r>
                    <w:rPr>
                      <w:rFonts w:hint="default" w:ascii="Times New Roman" w:hAnsi="Times New Roman" w:eastAsia="仿宋" w:cs="Times New Roman"/>
                      <w:highlight w:val="none"/>
                      <w:lang w:val="zh-CN"/>
                    </w:rPr>
                    <w:t>内提供书面说明，必要时提交相关证明材料；供应商不能证明其报价合理性的，</w:t>
                  </w:r>
                  <w:r>
                    <w:rPr>
                      <w:rFonts w:hint="default" w:ascii="Times New Roman" w:hAnsi="Times New Roman" w:eastAsia="仿宋" w:cs="Times New Roman"/>
                      <w:sz w:val="24"/>
                      <w:szCs w:val="24"/>
                      <w:highlight w:val="none"/>
                      <w:lang w:val="zh-CN"/>
                    </w:rPr>
                    <w:t>谈判</w:t>
                  </w:r>
                  <w:r>
                    <w:rPr>
                      <w:rFonts w:hint="default" w:ascii="Times New Roman" w:hAnsi="Times New Roman" w:eastAsia="仿宋" w:cs="Times New Roman"/>
                      <w:highlight w:val="none"/>
                      <w:lang w:val="zh-CN"/>
                    </w:rPr>
                    <w:t>小组应当将其响应文件作为无效处理。供应商的书面说明材料应当按照国家财务会计制度的规定要求，逐项就供应商提供的的主营业务成本、税金及附加、销售费用、管理费用、财务费用等成本构成事项详细陈述。</w:t>
                  </w:r>
                </w:p>
                <w:p>
                  <w:pPr>
                    <w:pStyle w:val="76"/>
                    <w:spacing w:line="360" w:lineRule="exact"/>
                    <w:ind w:firstLine="480" w:firstLineChars="200"/>
                    <w:jc w:val="both"/>
                    <w:rPr>
                      <w:rFonts w:hint="default" w:ascii="Times New Roman" w:hAnsi="Times New Roman" w:eastAsia="仿宋_GB2312" w:cs="Times New Roman"/>
                      <w:highlight w:val="none"/>
                      <w:lang w:val="zh-CN"/>
                    </w:rPr>
                  </w:pPr>
                  <w:r>
                    <w:rPr>
                      <w:rFonts w:hint="default" w:ascii="Times New Roman" w:hAnsi="Times New Roman" w:eastAsia="仿宋" w:cs="Times New Roman"/>
                      <w:highlight w:val="none"/>
                      <w:lang w:val="zh-CN"/>
                    </w:rPr>
                    <w:t>2</w:t>
                  </w:r>
                  <w:r>
                    <w:rPr>
                      <w:rFonts w:hint="default" w:ascii="Times New Roman" w:hAnsi="Times New Roman" w:eastAsia="仿宋" w:cs="Times New Roman"/>
                      <w:sz w:val="24"/>
                      <w:szCs w:val="24"/>
                      <w:highlight w:val="none"/>
                      <w:lang w:val="zh-CN" w:eastAsia="zh-CN"/>
                    </w:rPr>
                    <w:t>.</w:t>
                  </w:r>
                  <w:r>
                    <w:rPr>
                      <w:rFonts w:hint="default" w:ascii="Times New Roman" w:hAnsi="Times New Roman" w:eastAsia="仿宋" w:cs="Times New Roman"/>
                      <w:highlight w:val="none"/>
                      <w:lang w:val="zh-CN"/>
                    </w:rPr>
                    <w:t>供应商书面说明应当</w:t>
                  </w:r>
                  <w:r>
                    <w:rPr>
                      <w:rFonts w:hint="default" w:ascii="Times New Roman" w:hAnsi="Times New Roman" w:eastAsia="仿宋" w:cs="Times New Roman"/>
                      <w:sz w:val="24"/>
                      <w:szCs w:val="24"/>
                      <w:highlight w:val="none"/>
                      <w:lang w:val="zh-CN"/>
                    </w:rPr>
                    <w:t>由其法定代表人或者其授权代表</w:t>
                  </w:r>
                  <w:r>
                    <w:rPr>
                      <w:rFonts w:hint="default" w:ascii="Times New Roman" w:hAnsi="Times New Roman" w:eastAsia="仿宋" w:cs="Times New Roman"/>
                      <w:highlight w:val="none"/>
                      <w:lang w:val="zh-CN"/>
                    </w:rPr>
                    <w:t>签字确认或者加盖公章，否则无效。</w:t>
                  </w:r>
                </w:p>
                <w:p>
                  <w:pPr>
                    <w:pStyle w:val="76"/>
                    <w:spacing w:line="360" w:lineRule="exact"/>
                    <w:ind w:firstLine="480" w:firstLineChars="200"/>
                    <w:jc w:val="both"/>
                    <w:rPr>
                      <w:rFonts w:hint="default" w:ascii="Times New Roman" w:hAnsi="Times New Roman" w:eastAsia="仿宋" w:cs="Times New Roman"/>
                      <w:highlight w:val="none"/>
                    </w:rPr>
                  </w:pPr>
                  <w:r>
                    <w:rPr>
                      <w:rFonts w:hint="default" w:ascii="Times New Roman" w:hAnsi="Times New Roman" w:eastAsia="仿宋" w:cs="Times New Roman"/>
                      <w:highlight w:val="none"/>
                      <w:lang w:val="zh-CN"/>
                    </w:rPr>
                    <w:t>3</w:t>
                  </w:r>
                  <w:r>
                    <w:rPr>
                      <w:rFonts w:hint="default" w:ascii="Times New Roman" w:hAnsi="Times New Roman" w:eastAsia="仿宋" w:cs="Times New Roman"/>
                      <w:sz w:val="24"/>
                      <w:szCs w:val="24"/>
                      <w:highlight w:val="none"/>
                      <w:lang w:val="zh-CN"/>
                    </w:rPr>
                    <w:t>.</w:t>
                  </w:r>
                  <w:r>
                    <w:rPr>
                      <w:rFonts w:hint="default" w:ascii="Times New Roman" w:hAnsi="Times New Roman" w:eastAsia="仿宋" w:cs="Times New Roman"/>
                      <w:highlight w:val="none"/>
                      <w:lang w:val="zh-CN"/>
                    </w:rPr>
                    <w:t>供应商提供书面说明后，</w:t>
                  </w:r>
                  <w:r>
                    <w:rPr>
                      <w:rFonts w:hint="default" w:ascii="Times New Roman" w:hAnsi="Times New Roman" w:eastAsia="仿宋" w:cs="Times New Roman"/>
                      <w:sz w:val="24"/>
                      <w:szCs w:val="24"/>
                      <w:highlight w:val="none"/>
                      <w:lang w:val="zh-CN"/>
                    </w:rPr>
                    <w:t>谈判</w:t>
                  </w:r>
                  <w:r>
                    <w:rPr>
                      <w:rFonts w:hint="default" w:ascii="Times New Roman" w:hAnsi="Times New Roman" w:eastAsia="仿宋" w:cs="Times New Roman"/>
                      <w:highlight w:val="none"/>
                      <w:lang w:val="zh-CN"/>
                    </w:rPr>
                    <w:t>小组应当结合采购项目实际情况、供应商财务状况报告、与其他供应商比较情况等就供应商书面说明进行审查评价。供应商拒绝或者变相拒绝提供有效书面说明或者书面说明不能证明其报价合理性的或未在规定时间内递交有效书面说明书的，</w:t>
                  </w:r>
                  <w:r>
                    <w:rPr>
                      <w:rFonts w:hint="default" w:ascii="Times New Roman" w:hAnsi="Times New Roman" w:eastAsia="仿宋" w:cs="Times New Roman"/>
                      <w:sz w:val="24"/>
                      <w:szCs w:val="24"/>
                      <w:highlight w:val="none"/>
                      <w:lang w:val="zh-CN"/>
                    </w:rPr>
                    <w:t>谈判</w:t>
                  </w:r>
                  <w:r>
                    <w:rPr>
                      <w:rFonts w:hint="default" w:ascii="Times New Roman" w:hAnsi="Times New Roman" w:eastAsia="仿宋" w:cs="Times New Roman"/>
                      <w:highlight w:val="none"/>
                      <w:lang w:val="zh-CN"/>
                    </w:rPr>
                    <w:t>小组应当将其响应文件作为无效处理。</w:t>
                  </w:r>
                </w:p>
              </w:tc>
            </w:tr>
          </w:tbl>
          <w:p>
            <w:pPr>
              <w:spacing w:line="360" w:lineRule="exact"/>
              <w:ind w:left="105" w:leftChars="50" w:right="105" w:rightChars="50" w:firstLine="480" w:firstLineChars="200"/>
              <w:jc w:val="left"/>
              <w:rPr>
                <w:rFonts w:eastAsia="仿宋"/>
                <w:kern w:val="0"/>
                <w:sz w:val="24"/>
                <w:szCs w:val="24"/>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908" w:type="dxa"/>
            <w:tcBorders>
              <w:tl2br w:val="nil"/>
              <w:tr2bl w:val="nil"/>
            </w:tcBorders>
            <w:vAlign w:val="center"/>
          </w:tcPr>
          <w:p>
            <w:pPr>
              <w:pStyle w:val="76"/>
              <w:spacing w:line="360" w:lineRule="exact"/>
              <w:ind w:right="230"/>
              <w:jc w:val="center"/>
              <w:rPr>
                <w:rFonts w:ascii="Times New Roman" w:hAnsi="Times New Roman" w:eastAsia="仿宋" w:cs="Times New Roman"/>
              </w:rPr>
            </w:pPr>
            <w:r>
              <w:rPr>
                <w:rFonts w:hint="eastAsia" w:ascii="Times New Roman" w:hAnsi="Times New Roman" w:eastAsia="仿宋" w:cs="Times New Roman"/>
              </w:rPr>
              <w:t>3</w:t>
            </w:r>
          </w:p>
        </w:tc>
        <w:tc>
          <w:tcPr>
            <w:tcW w:w="1536" w:type="dxa"/>
            <w:tcBorders>
              <w:tl2br w:val="nil"/>
              <w:tr2bl w:val="nil"/>
            </w:tcBorders>
            <w:vAlign w:val="center"/>
          </w:tcPr>
          <w:p>
            <w:pPr>
              <w:pStyle w:val="76"/>
              <w:spacing w:line="360" w:lineRule="exact"/>
              <w:ind w:left="38"/>
              <w:jc w:val="center"/>
              <w:rPr>
                <w:rFonts w:ascii="Times New Roman" w:hAnsi="Times New Roman" w:eastAsia="仿宋" w:cs="Times New Roman"/>
              </w:rPr>
            </w:pPr>
            <w:r>
              <w:rPr>
                <w:rFonts w:hint="eastAsia" w:ascii="Times New Roman" w:hAnsi="Times New Roman" w:eastAsia="仿宋" w:cs="Times New Roman"/>
              </w:rPr>
              <w:t>预付款</w:t>
            </w:r>
          </w:p>
        </w:tc>
        <w:tc>
          <w:tcPr>
            <w:tcW w:w="7161" w:type="dxa"/>
            <w:tcBorders>
              <w:tl2br w:val="nil"/>
              <w:tr2bl w:val="nil"/>
            </w:tcBorders>
            <w:vAlign w:val="center"/>
          </w:tcPr>
          <w:p>
            <w:pPr>
              <w:spacing w:line="360" w:lineRule="exact"/>
              <w:ind w:left="105" w:leftChars="50" w:right="105" w:rightChars="50" w:firstLine="480" w:firstLineChars="200"/>
              <w:rPr>
                <w:rFonts w:eastAsia="仿宋"/>
                <w:sz w:val="24"/>
                <w:szCs w:val="24"/>
              </w:rPr>
            </w:pPr>
            <w:r>
              <w:rPr>
                <w:rFonts w:hint="eastAsia" w:eastAsia="仿宋"/>
                <w:sz w:val="24"/>
                <w:szCs w:val="24"/>
              </w:rPr>
              <w:t>签约合同价的</w:t>
            </w:r>
            <w:r>
              <w:rPr>
                <w:rFonts w:hint="eastAsia" w:eastAsia="仿宋"/>
                <w:sz w:val="24"/>
                <w:szCs w:val="24"/>
                <w:lang w:val="en-US" w:eastAsia="zh-CN"/>
              </w:rPr>
              <w:t>20</w:t>
            </w:r>
            <w:r>
              <w:rPr>
                <w:rFonts w:hint="eastAsia" w:eastAsia="仿宋"/>
                <w:sz w:val="24"/>
                <w:szCs w:val="24"/>
              </w:rPr>
              <w:t>%（转为第1次进度款）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1" w:hRule="atLeast"/>
          <w:jc w:val="center"/>
        </w:trPr>
        <w:tc>
          <w:tcPr>
            <w:tcW w:w="908" w:type="dxa"/>
            <w:tcBorders>
              <w:tl2br w:val="nil"/>
              <w:tr2bl w:val="nil"/>
            </w:tcBorders>
            <w:vAlign w:val="center"/>
          </w:tcPr>
          <w:p>
            <w:pPr>
              <w:pStyle w:val="76"/>
              <w:spacing w:line="360" w:lineRule="exact"/>
              <w:ind w:right="230"/>
              <w:jc w:val="center"/>
              <w:rPr>
                <w:rFonts w:ascii="Times New Roman" w:hAnsi="Times New Roman" w:eastAsia="仿宋" w:cs="Times New Roman"/>
              </w:rPr>
            </w:pPr>
            <w:r>
              <w:rPr>
                <w:rFonts w:hint="eastAsia" w:ascii="Times New Roman" w:hAnsi="Times New Roman" w:eastAsia="仿宋" w:cs="Times New Roman"/>
              </w:rPr>
              <w:t>4</w:t>
            </w:r>
          </w:p>
        </w:tc>
        <w:tc>
          <w:tcPr>
            <w:tcW w:w="1536" w:type="dxa"/>
            <w:tcBorders>
              <w:tl2br w:val="nil"/>
              <w:tr2bl w:val="nil"/>
            </w:tcBorders>
            <w:vAlign w:val="center"/>
          </w:tcPr>
          <w:p>
            <w:pPr>
              <w:pStyle w:val="76"/>
              <w:spacing w:line="360" w:lineRule="exact"/>
              <w:ind w:left="38"/>
              <w:jc w:val="center"/>
              <w:rPr>
                <w:rFonts w:ascii="Times New Roman" w:hAnsi="Times New Roman" w:eastAsia="仿宋" w:cs="Times New Roman"/>
                <w:lang w:val="zh-CN"/>
              </w:rPr>
            </w:pPr>
            <w:r>
              <w:rPr>
                <w:rFonts w:hint="eastAsia" w:ascii="Times New Roman" w:hAnsi="Times New Roman" w:eastAsia="仿宋" w:cs="Times New Roman"/>
                <w:lang w:val="zh-CN"/>
              </w:rPr>
              <w:t>履约保证金</w:t>
            </w:r>
          </w:p>
        </w:tc>
        <w:tc>
          <w:tcPr>
            <w:tcW w:w="7161" w:type="dxa"/>
            <w:tcBorders>
              <w:tl2br w:val="nil"/>
              <w:tr2bl w:val="nil"/>
            </w:tcBorders>
            <w:vAlign w:val="center"/>
          </w:tcPr>
          <w:p>
            <w:pPr>
              <w:pStyle w:val="76"/>
              <w:spacing w:line="360" w:lineRule="exact"/>
              <w:ind w:firstLine="480" w:firstLineChars="200"/>
              <w:jc w:val="both"/>
              <w:rPr>
                <w:rFonts w:ascii="Times New Roman" w:hAnsi="Times New Roman" w:eastAsia="仿宋" w:cs="Times New Roman"/>
                <w:highlight w:val="none"/>
              </w:rPr>
            </w:pPr>
            <w:r>
              <w:rPr>
                <w:rFonts w:ascii="Times New Roman" w:hAnsi="Times New Roman" w:eastAsia="仿宋" w:cs="Times New Roman"/>
                <w:highlight w:val="none"/>
                <w:lang w:val="zh-CN"/>
              </w:rPr>
              <w:sym w:font="Wingdings" w:char="00FE"/>
            </w:r>
            <w:r>
              <w:rPr>
                <w:rFonts w:hint="eastAsia" w:ascii="Times New Roman" w:hAnsi="Times New Roman" w:eastAsia="仿宋" w:cs="Times New Roman"/>
                <w:highlight w:val="none"/>
              </w:rPr>
              <w:t>本项目不收取履约保证金</w:t>
            </w:r>
          </w:p>
          <w:p>
            <w:pPr>
              <w:pStyle w:val="76"/>
              <w:spacing w:line="360" w:lineRule="exact"/>
              <w:ind w:firstLine="480" w:firstLineChars="200"/>
              <w:jc w:val="both"/>
              <w:rPr>
                <w:rFonts w:ascii="Times New Roman" w:hAnsi="Times New Roman" w:eastAsia="仿宋" w:cs="Times New Roman"/>
                <w:highlight w:val="none"/>
              </w:rPr>
            </w:pPr>
            <w:r>
              <w:rPr>
                <w:rFonts w:ascii="Times New Roman" w:hAnsi="Times New Roman" w:eastAsia="仿宋" w:cs="Times New Roman"/>
                <w:highlight w:val="none"/>
                <w:lang w:val="zh-CN"/>
              </w:rPr>
              <w:sym w:font="Wingdings" w:char="00A8"/>
            </w:r>
            <w:r>
              <w:rPr>
                <w:rFonts w:hint="eastAsia" w:ascii="Times New Roman" w:hAnsi="Times New Roman" w:eastAsia="仿宋" w:cs="Times New Roman"/>
                <w:highlight w:val="none"/>
              </w:rPr>
              <w:t>本项目收取履约保证金（</w:t>
            </w:r>
            <w:r>
              <w:rPr>
                <w:rFonts w:hint="eastAsia" w:ascii="Times New Roman" w:hAnsi="Times New Roman" w:eastAsia="仿宋" w:cs="Times New Roman"/>
                <w:highlight w:val="none"/>
                <w:lang w:val="zh-CN"/>
              </w:rPr>
              <w:t>采购合同总金额的</w:t>
            </w:r>
            <w:r>
              <w:rPr>
                <w:rFonts w:ascii="Times New Roman" w:hAnsi="Times New Roman" w:eastAsia="仿宋" w:cs="Times New Roman"/>
                <w:highlight w:val="none"/>
                <w:u w:val="single"/>
              </w:rPr>
              <w:t>10</w:t>
            </w:r>
            <w:r>
              <w:rPr>
                <w:rFonts w:ascii="Times New Roman" w:hAnsi="Times New Roman" w:eastAsia="仿宋" w:cs="Times New Roman"/>
                <w:highlight w:val="none"/>
                <w:lang w:val="zh-CN"/>
              </w:rPr>
              <w:t>%</w:t>
            </w:r>
            <w:r>
              <w:rPr>
                <w:rFonts w:hint="eastAsia" w:ascii="Times New Roman" w:hAnsi="Times New Roman" w:eastAsia="仿宋" w:cs="Times New Roman"/>
                <w:highlight w:val="none"/>
                <w:lang w:val="zh-CN"/>
              </w:rPr>
              <w:t>）</w:t>
            </w:r>
          </w:p>
          <w:p>
            <w:pPr>
              <w:pStyle w:val="76"/>
              <w:spacing w:line="360" w:lineRule="exact"/>
              <w:ind w:firstLine="480" w:firstLineChars="200"/>
              <w:jc w:val="both"/>
              <w:rPr>
                <w:rFonts w:ascii="Times New Roman" w:hAnsi="Times New Roman" w:eastAsia="仿宋" w:cs="Times New Roman"/>
                <w:highlight w:val="none"/>
                <w:lang w:val="zh-CN"/>
              </w:rPr>
            </w:pPr>
            <w:r>
              <w:rPr>
                <w:rFonts w:hint="eastAsia" w:ascii="Times New Roman" w:hAnsi="Times New Roman" w:eastAsia="仿宋" w:cs="Times New Roman"/>
                <w:highlight w:val="none"/>
              </w:rPr>
              <w:t>金</w:t>
            </w:r>
            <w:r>
              <w:rPr>
                <w:rFonts w:hint="eastAsia" w:ascii="Times New Roman" w:hAnsi="Times New Roman" w:eastAsia="仿宋" w:cs="Times New Roman"/>
                <w:highlight w:val="none"/>
                <w:lang w:val="zh-CN"/>
              </w:rPr>
              <w:t>额：</w:t>
            </w:r>
          </w:p>
          <w:p>
            <w:pPr>
              <w:pStyle w:val="76"/>
              <w:spacing w:line="360" w:lineRule="exact"/>
              <w:ind w:firstLine="480" w:firstLineChars="200"/>
              <w:jc w:val="both"/>
              <w:rPr>
                <w:rFonts w:ascii="Times New Roman" w:hAnsi="Times New Roman" w:eastAsia="仿宋" w:cs="Times New Roman"/>
                <w:highlight w:val="none"/>
                <w:lang w:val="zh-CN"/>
              </w:rPr>
            </w:pPr>
            <w:r>
              <w:rPr>
                <w:rFonts w:hint="eastAsia" w:ascii="Times New Roman" w:hAnsi="Times New Roman" w:eastAsia="仿宋" w:cs="Times New Roman"/>
                <w:highlight w:val="none"/>
                <w:lang w:val="zh-CN"/>
              </w:rPr>
              <w:t>交款方式：</w:t>
            </w:r>
          </w:p>
          <w:p>
            <w:pPr>
              <w:pStyle w:val="76"/>
              <w:autoSpaceDE/>
              <w:autoSpaceDN/>
              <w:snapToGrid w:val="0"/>
              <w:spacing w:line="360" w:lineRule="exact"/>
              <w:ind w:firstLine="480" w:firstLineChars="200"/>
              <w:rPr>
                <w:rFonts w:ascii="Times New Roman" w:hAnsi="Times New Roman" w:eastAsia="仿宋" w:cs="Times New Roman"/>
                <w:highlight w:val="none"/>
                <w:lang w:val="zh-CN"/>
              </w:rPr>
            </w:pPr>
            <w:r>
              <w:rPr>
                <w:rFonts w:hint="eastAsia" w:ascii="Times New Roman" w:hAnsi="Times New Roman" w:eastAsia="仿宋" w:cs="Times New Roman"/>
                <w:highlight w:val="none"/>
                <w:lang w:val="zh-CN"/>
              </w:rPr>
              <w:t>收款账号：</w:t>
            </w:r>
          </w:p>
          <w:p>
            <w:pPr>
              <w:pStyle w:val="76"/>
              <w:spacing w:line="360" w:lineRule="exact"/>
              <w:ind w:firstLine="480" w:firstLineChars="200"/>
              <w:jc w:val="both"/>
              <w:rPr>
                <w:rFonts w:ascii="Times New Roman" w:hAnsi="Times New Roman" w:eastAsia="仿宋" w:cs="Times New Roman"/>
                <w:highlight w:val="none"/>
                <w:lang w:val="zh-CN"/>
              </w:rPr>
            </w:pPr>
            <w:r>
              <w:rPr>
                <w:rFonts w:hint="eastAsia" w:ascii="Times New Roman" w:hAnsi="Times New Roman" w:eastAsia="仿宋" w:cs="Times New Roman"/>
                <w:highlight w:val="none"/>
                <w:lang w:val="zh-CN"/>
              </w:rPr>
              <w:t>交款时间：</w:t>
            </w:r>
          </w:p>
          <w:p>
            <w:pPr>
              <w:pStyle w:val="76"/>
              <w:spacing w:line="360" w:lineRule="exact"/>
              <w:ind w:firstLine="480" w:firstLineChars="200"/>
              <w:jc w:val="both"/>
              <w:rPr>
                <w:rFonts w:ascii="Times New Roman" w:hAnsi="Times New Roman" w:eastAsia="仿宋" w:cs="Times New Roman"/>
                <w:highlight w:val="none"/>
                <w:lang w:val="zh-CN"/>
              </w:rPr>
            </w:pPr>
            <w:r>
              <w:rPr>
                <w:rFonts w:hint="eastAsia" w:ascii="Times New Roman" w:hAnsi="Times New Roman" w:eastAsia="仿宋" w:cs="Times New Roman"/>
                <w:highlight w:val="none"/>
              </w:rPr>
              <w:t>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exact"/>
          <w:jc w:val="center"/>
        </w:trPr>
        <w:tc>
          <w:tcPr>
            <w:tcW w:w="908" w:type="dxa"/>
            <w:tcBorders>
              <w:tl2br w:val="nil"/>
              <w:tr2bl w:val="nil"/>
            </w:tcBorders>
            <w:vAlign w:val="center"/>
          </w:tcPr>
          <w:p>
            <w:pPr>
              <w:pStyle w:val="76"/>
              <w:spacing w:line="360" w:lineRule="exact"/>
              <w:ind w:right="230"/>
              <w:jc w:val="center"/>
              <w:rPr>
                <w:rFonts w:ascii="Times New Roman" w:hAnsi="Times New Roman" w:eastAsia="仿宋" w:cs="Times New Roman"/>
              </w:rPr>
            </w:pPr>
            <w:r>
              <w:rPr>
                <w:rFonts w:hint="eastAsia" w:ascii="Times New Roman" w:hAnsi="Times New Roman" w:eastAsia="仿宋" w:cs="Times New Roman"/>
              </w:rPr>
              <w:t>5</w:t>
            </w:r>
          </w:p>
        </w:tc>
        <w:tc>
          <w:tcPr>
            <w:tcW w:w="1536" w:type="dxa"/>
            <w:tcBorders>
              <w:tl2br w:val="nil"/>
              <w:tr2bl w:val="nil"/>
            </w:tcBorders>
            <w:vAlign w:val="center"/>
          </w:tcPr>
          <w:p>
            <w:pPr>
              <w:pStyle w:val="76"/>
              <w:spacing w:line="360" w:lineRule="exact"/>
              <w:ind w:left="96"/>
              <w:jc w:val="center"/>
              <w:rPr>
                <w:rFonts w:ascii="Times New Roman" w:hAnsi="Times New Roman" w:eastAsia="仿宋" w:cs="Times New Roman"/>
                <w:lang w:val="zh-CN"/>
              </w:rPr>
            </w:pPr>
            <w:r>
              <w:rPr>
                <w:rFonts w:hint="eastAsia" w:ascii="Times New Roman" w:hAnsi="Times New Roman" w:eastAsia="仿宋" w:cs="Times New Roman"/>
                <w:lang w:val="zh-CN"/>
              </w:rPr>
              <w:t>合同</w:t>
            </w:r>
          </w:p>
          <w:p>
            <w:pPr>
              <w:pStyle w:val="76"/>
              <w:spacing w:line="360" w:lineRule="exact"/>
              <w:ind w:left="96"/>
              <w:jc w:val="center"/>
              <w:rPr>
                <w:rFonts w:ascii="Times New Roman" w:hAnsi="Times New Roman" w:eastAsia="仿宋" w:cs="Times New Roman"/>
                <w:lang w:val="zh-CN"/>
              </w:rPr>
            </w:pPr>
            <w:r>
              <w:rPr>
                <w:rFonts w:hint="eastAsia" w:ascii="Times New Roman" w:hAnsi="Times New Roman" w:eastAsia="仿宋" w:cs="Times New Roman"/>
                <w:lang w:val="zh-CN"/>
              </w:rPr>
              <w:t>转（分）包</w:t>
            </w:r>
          </w:p>
        </w:tc>
        <w:tc>
          <w:tcPr>
            <w:tcW w:w="7161" w:type="dxa"/>
            <w:tcBorders>
              <w:tl2br w:val="nil"/>
              <w:tr2bl w:val="nil"/>
            </w:tcBorders>
            <w:vAlign w:val="center"/>
          </w:tcPr>
          <w:p>
            <w:pPr>
              <w:pStyle w:val="76"/>
              <w:spacing w:line="360" w:lineRule="exact"/>
              <w:ind w:left="155" w:leftChars="74" w:firstLine="482" w:firstLineChars="200"/>
              <w:rPr>
                <w:rFonts w:ascii="Times New Roman" w:hAnsi="Times New Roman" w:eastAsia="仿宋" w:cs="Times New Roman"/>
                <w:highlight w:val="none"/>
                <w:lang w:val="zh-CN"/>
              </w:rPr>
            </w:pPr>
            <w:r>
              <w:rPr>
                <w:rFonts w:hint="eastAsia" w:ascii="Times New Roman" w:hAnsi="Times New Roman" w:eastAsia="仿宋" w:cs="Times New Roman"/>
                <w:b/>
                <w:bCs/>
                <w:highlight w:val="none"/>
                <w:u w:val="singl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908" w:type="dxa"/>
            <w:tcBorders>
              <w:tl2br w:val="nil"/>
              <w:tr2bl w:val="nil"/>
            </w:tcBorders>
            <w:vAlign w:val="center"/>
          </w:tcPr>
          <w:p>
            <w:pPr>
              <w:pStyle w:val="76"/>
              <w:spacing w:line="360" w:lineRule="exact"/>
              <w:ind w:right="230"/>
              <w:jc w:val="center"/>
              <w:rPr>
                <w:rFonts w:ascii="Times New Roman" w:hAnsi="Times New Roman" w:eastAsia="仿宋" w:cs="Times New Roman"/>
              </w:rPr>
            </w:pPr>
            <w:r>
              <w:rPr>
                <w:rFonts w:hint="eastAsia" w:ascii="Times New Roman" w:hAnsi="Times New Roman" w:eastAsia="仿宋" w:cs="Times New Roman"/>
              </w:rPr>
              <w:t>6</w:t>
            </w:r>
          </w:p>
        </w:tc>
        <w:tc>
          <w:tcPr>
            <w:tcW w:w="1536" w:type="dxa"/>
            <w:tcBorders>
              <w:tl2br w:val="nil"/>
              <w:tr2bl w:val="nil"/>
            </w:tcBorders>
            <w:vAlign w:val="center"/>
          </w:tcPr>
          <w:p>
            <w:pPr>
              <w:pStyle w:val="76"/>
              <w:spacing w:line="360" w:lineRule="exact"/>
              <w:ind w:left="96"/>
              <w:jc w:val="center"/>
              <w:rPr>
                <w:rFonts w:ascii="Times New Roman" w:hAnsi="Times New Roman" w:eastAsia="仿宋" w:cs="Times New Roman"/>
                <w:lang w:val="zh-CN"/>
              </w:rPr>
            </w:pPr>
            <w:r>
              <w:rPr>
                <w:rFonts w:hint="eastAsia" w:ascii="Times New Roman" w:hAnsi="Times New Roman" w:eastAsia="仿宋" w:cs="Times New Roman"/>
                <w:lang w:val="zh-CN"/>
              </w:rPr>
              <w:t>评审方法</w:t>
            </w:r>
          </w:p>
        </w:tc>
        <w:tc>
          <w:tcPr>
            <w:tcW w:w="7161" w:type="dxa"/>
            <w:tcBorders>
              <w:tl2br w:val="nil"/>
              <w:tr2bl w:val="nil"/>
            </w:tcBorders>
            <w:vAlign w:val="center"/>
          </w:tcPr>
          <w:p>
            <w:pPr>
              <w:pStyle w:val="76"/>
              <w:spacing w:line="360" w:lineRule="exact"/>
              <w:ind w:firstLine="482" w:firstLineChars="200"/>
              <w:rPr>
                <w:rFonts w:ascii="Times New Roman" w:hAnsi="Times New Roman" w:eastAsia="仿宋" w:cs="Times New Roman"/>
                <w:b/>
                <w:bCs/>
                <w:highlight w:val="none"/>
                <w:u w:val="single"/>
              </w:rPr>
            </w:pPr>
            <w:r>
              <w:rPr>
                <w:rFonts w:hint="eastAsia" w:ascii="Times New Roman" w:hAnsi="Times New Roman" w:eastAsia="仿宋" w:cs="Times New Roman"/>
                <w:b/>
                <w:bCs/>
                <w:highlight w:val="none"/>
                <w:u w:val="single"/>
              </w:rPr>
              <w:t>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908" w:type="dxa"/>
            <w:tcBorders>
              <w:tl2br w:val="nil"/>
              <w:tr2bl w:val="nil"/>
            </w:tcBorders>
            <w:vAlign w:val="center"/>
          </w:tcPr>
          <w:p>
            <w:pPr>
              <w:pStyle w:val="76"/>
              <w:spacing w:line="360" w:lineRule="exact"/>
              <w:ind w:right="230"/>
              <w:jc w:val="center"/>
              <w:rPr>
                <w:rFonts w:ascii="Times New Roman" w:hAnsi="Times New Roman" w:eastAsia="仿宋" w:cs="Times New Roman"/>
              </w:rPr>
            </w:pPr>
            <w:r>
              <w:rPr>
                <w:rFonts w:hint="eastAsia" w:ascii="Times New Roman" w:hAnsi="Times New Roman" w:eastAsia="仿宋" w:cs="Times New Roman"/>
                <w:lang w:bidi="ar"/>
              </w:rPr>
              <w:t>7</w:t>
            </w:r>
          </w:p>
        </w:tc>
        <w:tc>
          <w:tcPr>
            <w:tcW w:w="1536" w:type="dxa"/>
            <w:tcBorders>
              <w:tl2br w:val="nil"/>
              <w:tr2bl w:val="nil"/>
            </w:tcBorders>
            <w:vAlign w:val="center"/>
          </w:tcPr>
          <w:p>
            <w:pPr>
              <w:pStyle w:val="76"/>
              <w:spacing w:line="360" w:lineRule="exact"/>
              <w:ind w:left="96"/>
              <w:jc w:val="center"/>
              <w:rPr>
                <w:rFonts w:ascii="Times New Roman" w:hAnsi="Times New Roman" w:eastAsia="仿宋" w:cs="Times New Roman"/>
                <w:lang w:val="zh-CN"/>
              </w:rPr>
            </w:pPr>
            <w:r>
              <w:rPr>
                <w:rFonts w:hint="eastAsia" w:ascii="Times New Roman" w:hAnsi="Times New Roman" w:eastAsia="仿宋" w:cs="Times New Roman"/>
                <w:lang w:val="zh-CN" w:bidi="ar"/>
              </w:rPr>
              <w:t>谈判有效期</w:t>
            </w:r>
          </w:p>
        </w:tc>
        <w:tc>
          <w:tcPr>
            <w:tcW w:w="7161" w:type="dxa"/>
            <w:tcBorders>
              <w:tl2br w:val="nil"/>
              <w:tr2bl w:val="nil"/>
            </w:tcBorders>
            <w:vAlign w:val="center"/>
          </w:tcPr>
          <w:p>
            <w:pPr>
              <w:pStyle w:val="76"/>
              <w:autoSpaceDE/>
              <w:autoSpaceDN/>
              <w:snapToGrid w:val="0"/>
              <w:spacing w:line="360" w:lineRule="exact"/>
              <w:ind w:firstLine="480" w:firstLineChars="200"/>
              <w:rPr>
                <w:rFonts w:ascii="Times New Roman" w:hAnsi="Times New Roman" w:eastAsia="仿宋" w:cs="Times New Roman"/>
                <w:highlight w:val="none"/>
                <w:lang w:val="zh-CN"/>
              </w:rPr>
            </w:pPr>
            <w:r>
              <w:rPr>
                <w:rFonts w:hint="eastAsia" w:ascii="Times New Roman" w:hAnsi="Times New Roman" w:eastAsia="仿宋" w:cs="Times New Roman"/>
                <w:highlight w:val="none"/>
                <w:lang w:val="zh-CN" w:bidi="ar"/>
              </w:rPr>
              <w:t>谈判响应文件递交截止后</w:t>
            </w:r>
            <w:r>
              <w:rPr>
                <w:rFonts w:ascii="Times New Roman" w:hAnsi="Times New Roman" w:eastAsia="仿宋" w:cs="Times New Roman"/>
                <w:highlight w:val="none"/>
                <w:u w:val="single"/>
                <w:lang w:val="zh-CN" w:bidi="ar"/>
              </w:rPr>
              <w:t>60</w:t>
            </w:r>
            <w:r>
              <w:rPr>
                <w:rFonts w:hint="eastAsia" w:ascii="Times New Roman" w:hAnsi="Times New Roman" w:eastAsia="仿宋" w:cs="Times New Roman"/>
                <w:highlight w:val="none"/>
                <w:lang w:val="zh-CN" w:bidi="ar"/>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2" w:hRule="exact"/>
          <w:jc w:val="center"/>
        </w:trPr>
        <w:tc>
          <w:tcPr>
            <w:tcW w:w="908" w:type="dxa"/>
            <w:tcBorders>
              <w:tl2br w:val="nil"/>
              <w:tr2bl w:val="nil"/>
            </w:tcBorders>
            <w:vAlign w:val="center"/>
          </w:tcPr>
          <w:p>
            <w:pPr>
              <w:pStyle w:val="76"/>
              <w:spacing w:line="360" w:lineRule="exact"/>
              <w:ind w:right="230"/>
              <w:jc w:val="center"/>
              <w:rPr>
                <w:rFonts w:ascii="Times New Roman" w:hAnsi="Times New Roman" w:eastAsia="仿宋" w:cs="Times New Roman"/>
                <w:lang w:bidi="ar"/>
              </w:rPr>
            </w:pPr>
            <w:r>
              <w:rPr>
                <w:rFonts w:hint="eastAsia" w:ascii="Times New Roman" w:hAnsi="Times New Roman" w:eastAsia="仿宋" w:cs="Times New Roman"/>
                <w:lang w:bidi="ar"/>
              </w:rPr>
              <w:t>8</w:t>
            </w:r>
          </w:p>
        </w:tc>
        <w:tc>
          <w:tcPr>
            <w:tcW w:w="1536" w:type="dxa"/>
            <w:tcBorders>
              <w:tl2br w:val="nil"/>
              <w:tr2bl w:val="nil"/>
            </w:tcBorders>
            <w:vAlign w:val="center"/>
          </w:tcPr>
          <w:p>
            <w:pPr>
              <w:pStyle w:val="76"/>
              <w:spacing w:line="360" w:lineRule="exact"/>
              <w:jc w:val="center"/>
              <w:rPr>
                <w:rFonts w:ascii="Times New Roman" w:hAnsi="Times New Roman" w:eastAsia="仿宋" w:cs="Times New Roman"/>
                <w:lang w:val="zh-CN" w:bidi="ar"/>
              </w:rPr>
            </w:pPr>
            <w:r>
              <w:rPr>
                <w:rFonts w:ascii="Times New Roman" w:hAnsi="Times New Roman" w:eastAsia="仿宋" w:cs="Times New Roman"/>
                <w:lang w:val="zh-CN" w:bidi="ar"/>
              </w:rPr>
              <w:t>澄清和修改</w:t>
            </w:r>
          </w:p>
        </w:tc>
        <w:tc>
          <w:tcPr>
            <w:tcW w:w="7161" w:type="dxa"/>
            <w:tcBorders>
              <w:tl2br w:val="nil"/>
              <w:tr2bl w:val="nil"/>
            </w:tcBorders>
            <w:vAlign w:val="center"/>
          </w:tcPr>
          <w:p>
            <w:pPr>
              <w:pStyle w:val="76"/>
              <w:autoSpaceDE/>
              <w:autoSpaceDN/>
              <w:snapToGrid w:val="0"/>
              <w:spacing w:line="360" w:lineRule="exact"/>
              <w:ind w:firstLine="560"/>
              <w:rPr>
                <w:rFonts w:ascii="Times New Roman" w:hAnsi="Times New Roman" w:eastAsia="仿宋" w:cs="Times New Roman"/>
                <w:lang w:val="zh-CN" w:bidi="ar"/>
              </w:rPr>
            </w:pPr>
            <w:r>
              <w:rPr>
                <w:rFonts w:ascii="Times New Roman" w:hAnsi="Times New Roman" w:eastAsia="仿宋" w:cs="Times New Roman"/>
                <w:lang w:val="zh-CN" w:bidi="ar"/>
              </w:rPr>
              <w:t>1.</w:t>
            </w:r>
            <w:r>
              <w:rPr>
                <w:rFonts w:hint="eastAsia" w:ascii="Times New Roman" w:hAnsi="Times New Roman" w:eastAsia="仿宋" w:cs="Times New Roman"/>
                <w:lang w:val="zh-CN" w:bidi="ar"/>
              </w:rPr>
              <w:t>澄清或者修改的内容为采购文件的组成部分，澄清或者修改的内容可能影响响应文件编制的，采购人发布公告并书面通知供应商的时间，应当在提交首次响应文件截止之日起</w:t>
            </w:r>
            <w:r>
              <w:rPr>
                <w:rFonts w:hint="eastAsia" w:ascii="Times New Roman" w:hAnsi="Times New Roman" w:eastAsia="仿宋" w:cs="Times New Roman"/>
                <w:lang w:bidi="ar"/>
              </w:rPr>
              <w:t>1</w:t>
            </w:r>
            <w:r>
              <w:rPr>
                <w:rFonts w:hint="eastAsia" w:ascii="Times New Roman" w:hAnsi="Times New Roman" w:eastAsia="仿宋" w:cs="Times New Roman"/>
                <w:lang w:val="zh-CN" w:bidi="ar"/>
              </w:rPr>
              <w:t>个工作日前；不足上述时间的，应当顺延递交响应文件的截止时间。</w:t>
            </w:r>
          </w:p>
          <w:p>
            <w:pPr>
              <w:pStyle w:val="76"/>
              <w:autoSpaceDE/>
              <w:autoSpaceDN/>
              <w:snapToGrid w:val="0"/>
              <w:spacing w:line="360" w:lineRule="exact"/>
              <w:ind w:firstLine="560"/>
              <w:rPr>
                <w:rFonts w:ascii="Times New Roman" w:hAnsi="Times New Roman" w:eastAsia="仿宋" w:cs="Times New Roman"/>
                <w:lang w:val="zh-CN" w:bidi="ar"/>
              </w:rPr>
            </w:pPr>
            <w:r>
              <w:rPr>
                <w:rFonts w:ascii="Times New Roman" w:hAnsi="Times New Roman" w:eastAsia="仿宋" w:cs="Times New Roman"/>
                <w:lang w:val="zh-CN" w:bidi="ar"/>
              </w:rPr>
              <w:t>2.</w:t>
            </w:r>
            <w:r>
              <w:rPr>
                <w:rFonts w:hint="eastAsia" w:ascii="Times New Roman" w:hAnsi="Times New Roman" w:eastAsia="仿宋" w:cs="Times New Roman"/>
                <w:lang w:val="zh-CN" w:bidi="ar"/>
              </w:rPr>
              <w:t>各投标人在投标截止时间前务必登陆四川省都江堰水利发展中心人民渠第一管理处官网</w:t>
            </w:r>
            <w:r>
              <w:rPr>
                <w:rFonts w:ascii="Times New Roman" w:hAnsi="Times New Roman" w:eastAsia="仿宋" w:cs="Times New Roman"/>
                <w:lang w:val="zh-CN" w:bidi="ar"/>
              </w:rPr>
              <w:t>—</w:t>
            </w:r>
            <w:r>
              <w:rPr>
                <w:rFonts w:hint="eastAsia" w:ascii="Times New Roman" w:hAnsi="Times New Roman" w:eastAsia="仿宋" w:cs="Times New Roman"/>
                <w:lang w:val="zh-CN" w:bidi="ar"/>
              </w:rPr>
              <w:t>公示公告栏目查询是否有更正公告，否则造成的一切后果由投标人自行承担。网上公布的更正公告视同通知了所有投标人，为采购文件的有效组成部分。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908" w:type="dxa"/>
            <w:tcBorders>
              <w:tl2br w:val="nil"/>
              <w:tr2bl w:val="nil"/>
            </w:tcBorders>
            <w:vAlign w:val="center"/>
          </w:tcPr>
          <w:p>
            <w:pPr>
              <w:pStyle w:val="76"/>
              <w:spacing w:line="360" w:lineRule="exact"/>
              <w:ind w:right="230"/>
              <w:jc w:val="center"/>
              <w:rPr>
                <w:rFonts w:ascii="Times New Roman" w:hAnsi="Times New Roman" w:eastAsia="仿宋" w:cs="Times New Roman"/>
                <w:lang w:bidi="ar"/>
              </w:rPr>
            </w:pPr>
            <w:r>
              <w:rPr>
                <w:rFonts w:hint="eastAsia" w:ascii="Times New Roman" w:hAnsi="Times New Roman" w:eastAsia="仿宋" w:cs="Times New Roman"/>
                <w:lang w:bidi="ar"/>
              </w:rPr>
              <w:t>9</w:t>
            </w:r>
          </w:p>
        </w:tc>
        <w:tc>
          <w:tcPr>
            <w:tcW w:w="1536" w:type="dxa"/>
            <w:tcBorders>
              <w:tl2br w:val="nil"/>
              <w:tr2bl w:val="nil"/>
            </w:tcBorders>
            <w:vAlign w:val="center"/>
          </w:tcPr>
          <w:p>
            <w:pPr>
              <w:pStyle w:val="76"/>
              <w:spacing w:line="360" w:lineRule="exact"/>
              <w:ind w:left="96"/>
              <w:jc w:val="center"/>
              <w:rPr>
                <w:rFonts w:ascii="Times New Roman" w:hAnsi="Times New Roman" w:eastAsia="仿宋" w:cs="Times New Roman"/>
                <w:lang w:bidi="ar"/>
              </w:rPr>
            </w:pPr>
            <w:r>
              <w:rPr>
                <w:rFonts w:hint="eastAsia" w:ascii="Times New Roman" w:hAnsi="Times New Roman" w:eastAsia="仿宋" w:cs="Times New Roman"/>
                <w:lang w:bidi="ar"/>
              </w:rPr>
              <w:t>现场考察</w:t>
            </w:r>
          </w:p>
        </w:tc>
        <w:tc>
          <w:tcPr>
            <w:tcW w:w="7161" w:type="dxa"/>
            <w:tcBorders>
              <w:tl2br w:val="nil"/>
              <w:tr2bl w:val="nil"/>
            </w:tcBorders>
            <w:vAlign w:val="center"/>
          </w:tcPr>
          <w:p>
            <w:pPr>
              <w:pStyle w:val="76"/>
              <w:autoSpaceDE/>
              <w:autoSpaceDN/>
              <w:snapToGrid w:val="0"/>
              <w:spacing w:line="360" w:lineRule="exact"/>
              <w:ind w:firstLine="480" w:firstLineChars="200"/>
              <w:rPr>
                <w:rFonts w:ascii="Times New Roman" w:hAnsi="Times New Roman" w:eastAsia="仿宋" w:cs="Times New Roman"/>
                <w:lang w:bidi="ar"/>
              </w:rPr>
            </w:pPr>
            <w:r>
              <w:rPr>
                <w:rFonts w:hint="eastAsia" w:ascii="Times New Roman" w:hAnsi="Times New Roman" w:eastAsia="仿宋" w:cs="Times New Roman"/>
                <w:lang w:bidi="ar"/>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8" w:type="dxa"/>
            <w:tcBorders>
              <w:tl2br w:val="nil"/>
              <w:tr2bl w:val="nil"/>
            </w:tcBorders>
            <w:vAlign w:val="center"/>
          </w:tcPr>
          <w:p>
            <w:pPr>
              <w:pStyle w:val="76"/>
              <w:spacing w:line="360" w:lineRule="exact"/>
              <w:ind w:right="230"/>
              <w:jc w:val="center"/>
              <w:rPr>
                <w:rFonts w:ascii="Times New Roman" w:hAnsi="Times New Roman" w:eastAsia="仿宋" w:cs="Times New Roman"/>
              </w:rPr>
            </w:pPr>
            <w:r>
              <w:rPr>
                <w:rFonts w:hint="eastAsia" w:ascii="Times New Roman" w:hAnsi="Times New Roman" w:eastAsia="仿宋" w:cs="Times New Roman"/>
              </w:rPr>
              <w:t>10</w:t>
            </w:r>
          </w:p>
        </w:tc>
        <w:tc>
          <w:tcPr>
            <w:tcW w:w="1536" w:type="dxa"/>
            <w:tcBorders>
              <w:tl2br w:val="nil"/>
              <w:tr2bl w:val="nil"/>
            </w:tcBorders>
            <w:vAlign w:val="center"/>
          </w:tcPr>
          <w:p>
            <w:pPr>
              <w:pStyle w:val="76"/>
              <w:spacing w:line="360" w:lineRule="exact"/>
              <w:ind w:left="96"/>
              <w:jc w:val="center"/>
              <w:rPr>
                <w:rFonts w:ascii="Times New Roman" w:hAnsi="Times New Roman" w:eastAsia="仿宋" w:cs="Times New Roman"/>
                <w:color w:val="000000" w:themeColor="text1"/>
                <w:lang w:val="zh-CN"/>
                <w14:textFill>
                  <w14:solidFill>
                    <w14:schemeClr w14:val="tx1"/>
                  </w14:solidFill>
                </w14:textFill>
              </w:rPr>
            </w:pPr>
            <w:r>
              <w:rPr>
                <w:rFonts w:hint="eastAsia" w:ascii="Times New Roman" w:hAnsi="Times New Roman" w:eastAsia="仿宋" w:cs="Times New Roman"/>
                <w:color w:val="000000"/>
                <w:lang w:val="zh-CN"/>
              </w:rPr>
              <w:t>递交响应文件清单</w:t>
            </w:r>
          </w:p>
        </w:tc>
        <w:tc>
          <w:tcPr>
            <w:tcW w:w="7161" w:type="dxa"/>
            <w:tcBorders>
              <w:tl2br w:val="nil"/>
              <w:tr2bl w:val="nil"/>
            </w:tcBorders>
            <w:vAlign w:val="center"/>
          </w:tcPr>
          <w:p>
            <w:pPr>
              <w:spacing w:line="360" w:lineRule="exact"/>
              <w:ind w:right="105" w:rightChars="50" w:firstLine="480" w:firstLineChars="200"/>
              <w:rPr>
                <w:rFonts w:eastAsia="仿宋"/>
                <w:kern w:val="0"/>
                <w:sz w:val="24"/>
                <w:szCs w:val="24"/>
                <w:highlight w:val="none"/>
                <w:lang w:val="zh-CN"/>
              </w:rPr>
            </w:pPr>
            <w:r>
              <w:rPr>
                <w:rFonts w:eastAsia="仿宋"/>
                <w:kern w:val="0"/>
                <w:sz w:val="24"/>
                <w:szCs w:val="24"/>
              </w:rPr>
              <w:t>1.</w:t>
            </w:r>
            <w:r>
              <w:rPr>
                <w:rFonts w:hint="eastAsia" w:eastAsia="仿宋"/>
                <w:kern w:val="0"/>
                <w:sz w:val="24"/>
                <w:szCs w:val="24"/>
                <w:lang w:val="zh-CN"/>
              </w:rPr>
              <w:t>资格性</w:t>
            </w:r>
            <w:r>
              <w:rPr>
                <w:rFonts w:hint="eastAsia" w:eastAsia="仿宋"/>
                <w:kern w:val="0"/>
                <w:sz w:val="24"/>
                <w:szCs w:val="24"/>
              </w:rPr>
              <w:t>响应</w:t>
            </w:r>
            <w:r>
              <w:rPr>
                <w:rFonts w:hint="eastAsia" w:eastAsia="仿宋"/>
                <w:kern w:val="0"/>
                <w:sz w:val="24"/>
                <w:szCs w:val="24"/>
                <w:lang w:val="zh-CN"/>
              </w:rPr>
              <w:t>文</w:t>
            </w:r>
            <w:r>
              <w:rPr>
                <w:rFonts w:hint="eastAsia" w:eastAsia="仿宋"/>
                <w:kern w:val="0"/>
                <w:sz w:val="24"/>
                <w:szCs w:val="24"/>
                <w:highlight w:val="none"/>
                <w:lang w:val="zh-CN"/>
              </w:rPr>
              <w:t>件</w:t>
            </w:r>
            <w:r>
              <w:rPr>
                <w:rFonts w:eastAsia="仿宋"/>
                <w:b/>
                <w:bCs/>
                <w:kern w:val="0"/>
                <w:sz w:val="24"/>
                <w:szCs w:val="24"/>
                <w:highlight w:val="none"/>
                <w:u w:val="single"/>
                <w:lang w:val="zh-CN"/>
              </w:rPr>
              <w:t>1</w:t>
            </w:r>
            <w:r>
              <w:rPr>
                <w:rFonts w:hint="eastAsia" w:eastAsia="仿宋"/>
                <w:kern w:val="0"/>
                <w:sz w:val="24"/>
                <w:szCs w:val="24"/>
                <w:highlight w:val="none"/>
                <w:lang w:val="zh-CN"/>
              </w:rPr>
              <w:t>正</w:t>
            </w:r>
            <w:r>
              <w:rPr>
                <w:rFonts w:eastAsia="仿宋"/>
                <w:b/>
                <w:bCs/>
                <w:kern w:val="0"/>
                <w:sz w:val="24"/>
                <w:szCs w:val="24"/>
                <w:highlight w:val="none"/>
                <w:u w:val="single"/>
              </w:rPr>
              <w:t>2</w:t>
            </w:r>
            <w:r>
              <w:rPr>
                <w:rFonts w:hint="eastAsia" w:eastAsia="仿宋"/>
                <w:kern w:val="0"/>
                <w:sz w:val="24"/>
                <w:szCs w:val="24"/>
                <w:highlight w:val="none"/>
                <w:lang w:val="zh-CN"/>
              </w:rPr>
              <w:t>副电子文档（</w:t>
            </w:r>
            <w:r>
              <w:rPr>
                <w:rFonts w:eastAsia="仿宋"/>
                <w:kern w:val="0"/>
                <w:sz w:val="24"/>
                <w:szCs w:val="24"/>
                <w:highlight w:val="none"/>
                <w:lang w:val="zh-CN"/>
              </w:rPr>
              <w:t>U盘）1份</w:t>
            </w:r>
            <w:r>
              <w:rPr>
                <w:rFonts w:hint="eastAsia" w:eastAsia="仿宋"/>
                <w:kern w:val="0"/>
                <w:sz w:val="24"/>
                <w:szCs w:val="24"/>
                <w:highlight w:val="none"/>
                <w:lang w:val="zh-CN"/>
              </w:rPr>
              <w:t>；</w:t>
            </w:r>
          </w:p>
          <w:p>
            <w:pPr>
              <w:spacing w:line="360" w:lineRule="exact"/>
              <w:ind w:right="105" w:rightChars="50" w:firstLine="480" w:firstLineChars="200"/>
              <w:rPr>
                <w:rFonts w:eastAsia="仿宋"/>
                <w:b/>
                <w:bCs/>
                <w:color w:val="000000" w:themeColor="text1"/>
                <w:sz w:val="24"/>
                <w:szCs w:val="24"/>
                <w:u w:val="single"/>
                <w:lang w:val="zh-CN"/>
                <w14:textFill>
                  <w14:solidFill>
                    <w14:schemeClr w14:val="tx1"/>
                  </w14:solidFill>
                </w14:textFill>
              </w:rPr>
            </w:pPr>
            <w:r>
              <w:rPr>
                <w:rFonts w:eastAsia="仿宋"/>
                <w:kern w:val="0"/>
                <w:sz w:val="24"/>
                <w:szCs w:val="24"/>
                <w:highlight w:val="none"/>
              </w:rPr>
              <w:t>2.其他</w:t>
            </w:r>
            <w:r>
              <w:rPr>
                <w:rFonts w:hint="eastAsia" w:eastAsia="仿宋"/>
                <w:kern w:val="0"/>
                <w:sz w:val="24"/>
                <w:szCs w:val="24"/>
                <w:highlight w:val="none"/>
              </w:rPr>
              <w:t>响应</w:t>
            </w:r>
            <w:r>
              <w:rPr>
                <w:rFonts w:hint="eastAsia" w:eastAsia="仿宋"/>
                <w:kern w:val="0"/>
                <w:sz w:val="24"/>
                <w:szCs w:val="24"/>
                <w:highlight w:val="none"/>
                <w:lang w:val="zh-CN"/>
              </w:rPr>
              <w:t>文件</w:t>
            </w:r>
            <w:r>
              <w:rPr>
                <w:rFonts w:eastAsia="仿宋"/>
                <w:b/>
                <w:bCs/>
                <w:kern w:val="0"/>
                <w:sz w:val="24"/>
                <w:szCs w:val="24"/>
                <w:highlight w:val="none"/>
                <w:u w:val="single"/>
                <w:lang w:val="zh-CN"/>
              </w:rPr>
              <w:t>1</w:t>
            </w:r>
            <w:r>
              <w:rPr>
                <w:rFonts w:hint="eastAsia" w:eastAsia="仿宋"/>
                <w:kern w:val="0"/>
                <w:sz w:val="24"/>
                <w:szCs w:val="24"/>
                <w:highlight w:val="none"/>
                <w:lang w:val="zh-CN"/>
              </w:rPr>
              <w:t>正</w:t>
            </w:r>
            <w:r>
              <w:rPr>
                <w:rFonts w:eastAsia="仿宋"/>
                <w:b/>
                <w:bCs/>
                <w:kern w:val="0"/>
                <w:sz w:val="24"/>
                <w:szCs w:val="24"/>
                <w:highlight w:val="none"/>
                <w:u w:val="single"/>
              </w:rPr>
              <w:t>2</w:t>
            </w:r>
            <w:r>
              <w:rPr>
                <w:rFonts w:hint="eastAsia" w:eastAsia="仿宋"/>
                <w:kern w:val="0"/>
                <w:sz w:val="24"/>
                <w:szCs w:val="24"/>
                <w:highlight w:val="none"/>
                <w:lang w:val="zh-CN"/>
              </w:rPr>
              <w:t>副</w:t>
            </w:r>
            <w:r>
              <w:rPr>
                <w:rFonts w:hint="eastAsia" w:eastAsia="仿宋"/>
                <w:kern w:val="0"/>
                <w:sz w:val="24"/>
                <w:szCs w:val="24"/>
                <w:lang w:val="zh-CN"/>
              </w:rPr>
              <w:t>电子文档（</w:t>
            </w:r>
            <w:r>
              <w:rPr>
                <w:rFonts w:eastAsia="仿宋"/>
                <w:kern w:val="0"/>
                <w:sz w:val="24"/>
                <w:szCs w:val="24"/>
                <w:lang w:val="zh-CN"/>
              </w:rPr>
              <w:t>U盘）1份</w:t>
            </w:r>
            <w:r>
              <w:rPr>
                <w:rFonts w:hint="eastAsia" w:eastAsia="仿宋"/>
                <w:kern w:val="0"/>
                <w:sz w:val="24"/>
                <w:szCs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8" w:type="dxa"/>
            <w:tcBorders>
              <w:tl2br w:val="nil"/>
              <w:tr2bl w:val="nil"/>
            </w:tcBorders>
            <w:vAlign w:val="center"/>
          </w:tcPr>
          <w:p>
            <w:pPr>
              <w:pStyle w:val="76"/>
              <w:spacing w:line="360" w:lineRule="exact"/>
              <w:ind w:right="230"/>
              <w:jc w:val="center"/>
              <w:rPr>
                <w:rFonts w:ascii="Times New Roman" w:hAnsi="Times New Roman" w:eastAsia="仿宋" w:cs="Times New Roman"/>
              </w:rPr>
            </w:pPr>
            <w:r>
              <w:rPr>
                <w:rFonts w:hint="eastAsia" w:ascii="Times New Roman" w:hAnsi="Times New Roman" w:eastAsia="仿宋" w:cs="Times New Roman"/>
              </w:rPr>
              <w:t>11</w:t>
            </w:r>
          </w:p>
        </w:tc>
        <w:tc>
          <w:tcPr>
            <w:tcW w:w="1536" w:type="dxa"/>
            <w:tcBorders>
              <w:tl2br w:val="nil"/>
              <w:tr2bl w:val="nil"/>
            </w:tcBorders>
            <w:vAlign w:val="center"/>
          </w:tcPr>
          <w:p>
            <w:pPr>
              <w:pStyle w:val="76"/>
              <w:spacing w:line="360" w:lineRule="exact"/>
              <w:ind w:left="96"/>
              <w:jc w:val="center"/>
              <w:rPr>
                <w:rFonts w:ascii="Times New Roman" w:hAnsi="Times New Roman" w:eastAsia="仿宋" w:cs="Times New Roman"/>
                <w:color w:val="000000"/>
              </w:rPr>
            </w:pPr>
            <w:r>
              <w:rPr>
                <w:rFonts w:hint="eastAsia" w:ascii="Times New Roman" w:hAnsi="Times New Roman" w:eastAsia="仿宋" w:cs="Times New Roman"/>
                <w:color w:val="000000"/>
              </w:rPr>
              <w:t>其他</w:t>
            </w:r>
          </w:p>
        </w:tc>
        <w:tc>
          <w:tcPr>
            <w:tcW w:w="7161" w:type="dxa"/>
            <w:tcBorders>
              <w:tl2br w:val="nil"/>
              <w:tr2bl w:val="nil"/>
            </w:tcBorders>
            <w:vAlign w:val="center"/>
          </w:tcPr>
          <w:p>
            <w:pPr>
              <w:spacing w:line="360" w:lineRule="exact"/>
              <w:ind w:right="105" w:rightChars="50" w:firstLine="480" w:firstLineChars="200"/>
              <w:rPr>
                <w:rFonts w:eastAsia="仿宋"/>
                <w:kern w:val="0"/>
                <w:sz w:val="24"/>
                <w:szCs w:val="24"/>
              </w:rPr>
            </w:pPr>
            <w:r>
              <w:rPr>
                <w:rFonts w:hint="eastAsia" w:eastAsia="仿宋"/>
                <w:kern w:val="0"/>
                <w:sz w:val="24"/>
                <w:szCs w:val="24"/>
              </w:rPr>
              <w:t>本项目二轮报价或多轮报价（谈判小组认为有必要，可以要求供应商进行多轮报价），请各供应商在</w:t>
            </w:r>
            <w:r>
              <w:rPr>
                <w:rFonts w:eastAsia="仿宋"/>
                <w:kern w:val="0"/>
                <w:sz w:val="24"/>
                <w:szCs w:val="24"/>
              </w:rPr>
              <w:t>30</w:t>
            </w:r>
            <w:r>
              <w:rPr>
                <w:rFonts w:hint="eastAsia" w:eastAsia="仿宋"/>
                <w:kern w:val="0"/>
                <w:sz w:val="24"/>
                <w:szCs w:val="24"/>
              </w:rPr>
              <w:t>分钟内按相应内容回复，如供应商未能在规定时间进行回复的，视同放弃该权利，则其前次报价为最终报价。</w:t>
            </w:r>
          </w:p>
        </w:tc>
      </w:tr>
    </w:tbl>
    <w:p>
      <w:pPr>
        <w:pStyle w:val="4"/>
        <w:keepNext w:val="0"/>
        <w:keepLines w:val="0"/>
        <w:spacing w:before="0" w:after="0" w:line="360" w:lineRule="auto"/>
        <w:rPr>
          <w:rFonts w:ascii="Times New Roman" w:hAnsi="Times New Roman" w:eastAsia="仿宋" w:cs="Times New Roman"/>
        </w:rPr>
      </w:pPr>
    </w:p>
    <w:p>
      <w:pPr>
        <w:pStyle w:val="38"/>
        <w:outlineLvl w:val="9"/>
        <w:rPr>
          <w:rFonts w:ascii="Times New Roman" w:hAnsi="Times New Roman" w:eastAsia="黑体" w:cs="Times New Roman"/>
          <w:b w:val="0"/>
          <w:bCs w:val="0"/>
        </w:rPr>
      </w:pPr>
      <w:r>
        <w:rPr>
          <w:rFonts w:ascii="Times New Roman" w:hAnsi="Times New Roman" w:eastAsia="仿宋" w:cs="Times New Roman"/>
        </w:rPr>
        <w:br w:type="page"/>
      </w:r>
    </w:p>
    <w:p>
      <w:pPr>
        <w:pStyle w:val="3"/>
        <w:keepNext w:val="0"/>
        <w:keepLines w:val="0"/>
        <w:spacing w:line="240" w:lineRule="auto"/>
        <w:rPr>
          <w:rFonts w:eastAsia="仿宋_GB2312"/>
          <w:b/>
          <w:bCs/>
          <w:color w:val="000000"/>
          <w:kern w:val="2"/>
        </w:rPr>
      </w:pPr>
      <w:r>
        <w:t>第</w:t>
      </w:r>
      <w:r>
        <w:rPr>
          <w:rFonts w:hint="eastAsia"/>
        </w:rPr>
        <w:t>三</w:t>
      </w:r>
      <w:r>
        <w:t>章</w:t>
      </w:r>
      <w:r>
        <w:rPr>
          <w:rFonts w:hint="eastAsia"/>
        </w:rPr>
        <w:t xml:space="preserve"> </w:t>
      </w:r>
      <w:r>
        <w:t>供应商须知</w:t>
      </w:r>
    </w:p>
    <w:p>
      <w:pPr>
        <w:pStyle w:val="4"/>
        <w:keepNext w:val="0"/>
        <w:keepLines w:val="0"/>
        <w:spacing w:before="0" w:after="0" w:line="560" w:lineRule="exact"/>
        <w:jc w:val="center"/>
        <w:rPr>
          <w:rFonts w:ascii="Times New Roman" w:hAnsi="Times New Roman" w:eastAsia="仿宋" w:cs="Times New Roman"/>
        </w:rPr>
      </w:pPr>
      <w:r>
        <w:rPr>
          <w:rFonts w:hint="eastAsia" w:ascii="Times New Roman" w:hAnsi="Times New Roman" w:cs="Times New Roman"/>
          <w:b w:val="0"/>
          <w:bCs w:val="0"/>
          <w:kern w:val="32"/>
        </w:rPr>
        <w:t>（一）总则</w:t>
      </w:r>
    </w:p>
    <w:p>
      <w:pPr>
        <w:numPr>
          <w:ilvl w:val="255"/>
          <w:numId w:val="0"/>
        </w:numPr>
        <w:spacing w:line="560" w:lineRule="exact"/>
        <w:ind w:firstLine="643" w:firstLineChars="200"/>
        <w:jc w:val="left"/>
        <w:rPr>
          <w:rFonts w:eastAsia="仿宋_GB2312"/>
          <w:b/>
          <w:bCs/>
          <w:color w:val="000000"/>
          <w:sz w:val="32"/>
          <w:szCs w:val="32"/>
        </w:rPr>
      </w:pPr>
      <w:bookmarkStart w:id="48" w:name="_Toc183682342"/>
      <w:bookmarkStart w:id="49" w:name="PO_默认文件内容_23"/>
      <w:bookmarkStart w:id="50" w:name="_Toc217446034"/>
      <w:bookmarkStart w:id="51" w:name="_Toc183582205"/>
      <w:r>
        <w:rPr>
          <w:rFonts w:hint="eastAsia" w:eastAsia="仿宋_GB2312"/>
          <w:b/>
          <w:bCs/>
          <w:color w:val="000000"/>
          <w:sz w:val="32"/>
          <w:szCs w:val="32"/>
        </w:rPr>
        <w:t>1.适用范围</w:t>
      </w:r>
    </w:p>
    <w:p>
      <w:pPr>
        <w:numPr>
          <w:ilvl w:val="255"/>
          <w:numId w:val="0"/>
        </w:numPr>
        <w:spacing w:line="560" w:lineRule="exact"/>
        <w:ind w:firstLine="640" w:firstLineChars="200"/>
        <w:jc w:val="left"/>
        <w:rPr>
          <w:rFonts w:eastAsia="仿宋_GB2312"/>
          <w:color w:val="000000"/>
          <w:sz w:val="32"/>
          <w:szCs w:val="32"/>
        </w:rPr>
      </w:pPr>
      <w:r>
        <w:rPr>
          <w:rFonts w:hint="eastAsia" w:eastAsia="仿宋_GB2312"/>
          <w:color w:val="000000"/>
          <w:sz w:val="32"/>
          <w:szCs w:val="32"/>
        </w:rPr>
        <w:t>1.1本谈判文件仅适用于本次谈判所叙述的采购项目。</w:t>
      </w:r>
    </w:p>
    <w:p>
      <w:pPr>
        <w:numPr>
          <w:ilvl w:val="255"/>
          <w:numId w:val="0"/>
        </w:numPr>
        <w:spacing w:line="560" w:lineRule="exact"/>
        <w:ind w:firstLine="640" w:firstLineChars="200"/>
        <w:jc w:val="left"/>
        <w:rPr>
          <w:rFonts w:eastAsia="仿宋_GB2312"/>
          <w:color w:val="000000"/>
          <w:sz w:val="32"/>
          <w:szCs w:val="32"/>
        </w:rPr>
      </w:pPr>
      <w:r>
        <w:rPr>
          <w:rFonts w:hint="eastAsia" w:eastAsia="仿宋_GB2312"/>
          <w:color w:val="000000"/>
          <w:sz w:val="32"/>
          <w:szCs w:val="32"/>
        </w:rPr>
        <w:t>1.2本谈判文件的解释权归采购人所有。</w:t>
      </w:r>
      <w:bookmarkStart w:id="52" w:name="2.采购主体"/>
      <w:bookmarkEnd w:id="52"/>
    </w:p>
    <w:p>
      <w:pPr>
        <w:spacing w:line="560" w:lineRule="exact"/>
        <w:ind w:firstLine="643" w:firstLineChars="200"/>
        <w:rPr>
          <w:rFonts w:eastAsia="仿宋_GB2312"/>
          <w:color w:val="000000"/>
        </w:rPr>
      </w:pPr>
      <w:r>
        <w:rPr>
          <w:rFonts w:hint="eastAsia" w:eastAsia="仿宋_GB2312"/>
          <w:b/>
          <w:bCs/>
          <w:color w:val="000000"/>
          <w:sz w:val="32"/>
          <w:szCs w:val="32"/>
        </w:rPr>
        <w:t>2</w:t>
      </w:r>
      <w:r>
        <w:rPr>
          <w:rFonts w:eastAsia="仿宋_GB2312"/>
          <w:b/>
          <w:bCs/>
          <w:color w:val="000000"/>
          <w:sz w:val="32"/>
          <w:szCs w:val="32"/>
        </w:rPr>
        <w:t>.</w:t>
      </w:r>
      <w:r>
        <w:rPr>
          <w:rFonts w:hint="eastAsia" w:eastAsia="仿宋_GB2312"/>
          <w:b/>
          <w:bCs/>
          <w:color w:val="000000"/>
          <w:sz w:val="32"/>
          <w:szCs w:val="32"/>
        </w:rPr>
        <w:t>合格的供应商</w:t>
      </w:r>
    </w:p>
    <w:p>
      <w:pPr>
        <w:spacing w:line="560" w:lineRule="exact"/>
        <w:ind w:firstLine="640" w:firstLineChars="200"/>
        <w:rPr>
          <w:rFonts w:eastAsia="仿宋_GB2312"/>
          <w:color w:val="000000"/>
        </w:rPr>
      </w:pPr>
      <w:r>
        <w:rPr>
          <w:rFonts w:eastAsia="仿宋_GB2312"/>
          <w:color w:val="000000"/>
          <w:sz w:val="32"/>
          <w:szCs w:val="32"/>
        </w:rPr>
        <w:t>2.1</w:t>
      </w:r>
      <w:r>
        <w:rPr>
          <w:rFonts w:hint="eastAsia" w:eastAsia="仿宋_GB2312"/>
          <w:color w:val="000000"/>
          <w:sz w:val="32"/>
          <w:szCs w:val="32"/>
        </w:rPr>
        <w:t>符合谈判公告中载明的资格要求。</w:t>
      </w:r>
    </w:p>
    <w:p>
      <w:pPr>
        <w:numPr>
          <w:ilvl w:val="255"/>
          <w:numId w:val="0"/>
        </w:numPr>
        <w:spacing w:line="560" w:lineRule="exact"/>
        <w:ind w:firstLine="640" w:firstLineChars="200"/>
        <w:jc w:val="left"/>
        <w:rPr>
          <w:rFonts w:eastAsia="仿宋_GB2312"/>
          <w:color w:val="000000"/>
          <w:sz w:val="32"/>
          <w:szCs w:val="32"/>
        </w:rPr>
      </w:pPr>
      <w:r>
        <w:rPr>
          <w:rFonts w:hint="eastAsia" w:eastAsia="仿宋_GB2312"/>
          <w:color w:val="000000"/>
          <w:sz w:val="32"/>
          <w:szCs w:val="32"/>
        </w:rPr>
        <w:t>2.2具备法律法规和本采购文件规定的资格条件；</w:t>
      </w:r>
    </w:p>
    <w:p>
      <w:pPr>
        <w:numPr>
          <w:ilvl w:val="255"/>
          <w:numId w:val="0"/>
        </w:numPr>
        <w:spacing w:line="560" w:lineRule="exact"/>
        <w:ind w:firstLine="640" w:firstLineChars="200"/>
        <w:jc w:val="left"/>
        <w:rPr>
          <w:rFonts w:eastAsia="仿宋_GB2312"/>
          <w:color w:val="000000"/>
          <w:sz w:val="32"/>
          <w:szCs w:val="32"/>
        </w:rPr>
      </w:pPr>
      <w:r>
        <w:rPr>
          <w:rFonts w:hint="eastAsia" w:eastAsia="仿宋_GB2312"/>
          <w:color w:val="000000"/>
          <w:sz w:val="32"/>
          <w:szCs w:val="32"/>
        </w:rPr>
        <w:t>2.3不属于禁止参加本项目采购活动的供应商；</w:t>
      </w:r>
    </w:p>
    <w:p>
      <w:pPr>
        <w:numPr>
          <w:ilvl w:val="255"/>
          <w:numId w:val="0"/>
        </w:numPr>
        <w:spacing w:line="560" w:lineRule="exact"/>
        <w:ind w:firstLine="640" w:firstLineChars="200"/>
        <w:jc w:val="left"/>
        <w:rPr>
          <w:rFonts w:eastAsia="仿宋_GB2312"/>
          <w:color w:val="000000"/>
          <w:sz w:val="32"/>
          <w:szCs w:val="32"/>
        </w:rPr>
      </w:pPr>
      <w:r>
        <w:rPr>
          <w:rFonts w:hint="eastAsia" w:eastAsia="仿宋_GB2312"/>
          <w:color w:val="000000"/>
          <w:sz w:val="32"/>
          <w:szCs w:val="32"/>
        </w:rPr>
        <w:t>2.4遵守国家有关的法律、法规、规章和其他政策制度；</w:t>
      </w:r>
    </w:p>
    <w:p>
      <w:pPr>
        <w:spacing w:line="560" w:lineRule="exact"/>
        <w:ind w:firstLine="640" w:firstLineChars="200"/>
        <w:rPr>
          <w:rFonts w:eastAsia="仿宋_GB2312"/>
          <w:color w:val="000000"/>
        </w:rPr>
      </w:pPr>
      <w:r>
        <w:rPr>
          <w:rFonts w:hint="eastAsia" w:eastAsia="仿宋_GB2312"/>
          <w:color w:val="000000"/>
          <w:sz w:val="32"/>
          <w:szCs w:val="32"/>
        </w:rPr>
        <w:t>2.5按照规定获取了采购文件，属于实质性参加本项目采购活动的供应商。</w:t>
      </w:r>
    </w:p>
    <w:p>
      <w:pPr>
        <w:spacing w:line="560" w:lineRule="exact"/>
        <w:ind w:firstLine="643" w:firstLineChars="200"/>
        <w:rPr>
          <w:rFonts w:eastAsia="仿宋_GB2312"/>
          <w:b/>
          <w:bCs/>
          <w:color w:val="000000"/>
          <w:sz w:val="32"/>
          <w:szCs w:val="32"/>
        </w:rPr>
      </w:pPr>
      <w:r>
        <w:rPr>
          <w:rFonts w:hint="eastAsia" w:eastAsia="仿宋_GB2312"/>
          <w:b/>
          <w:bCs/>
          <w:color w:val="000000"/>
          <w:sz w:val="32"/>
          <w:szCs w:val="32"/>
        </w:rPr>
        <w:t>3</w:t>
      </w:r>
      <w:r>
        <w:rPr>
          <w:rFonts w:eastAsia="仿宋_GB2312"/>
          <w:b/>
          <w:bCs/>
          <w:color w:val="000000"/>
          <w:sz w:val="32"/>
          <w:szCs w:val="32"/>
        </w:rPr>
        <w:t>.</w:t>
      </w:r>
      <w:r>
        <w:rPr>
          <w:rFonts w:hint="eastAsia" w:eastAsia="仿宋_GB2312"/>
          <w:b/>
          <w:bCs/>
          <w:color w:val="000000"/>
          <w:sz w:val="32"/>
          <w:szCs w:val="32"/>
        </w:rPr>
        <w:t>供应商参与谈判活动的费用</w:t>
      </w:r>
    </w:p>
    <w:p>
      <w:pPr>
        <w:spacing w:line="560" w:lineRule="exact"/>
        <w:ind w:firstLine="640" w:firstLineChars="200"/>
        <w:rPr>
          <w:rFonts w:eastAsia="仿宋_GB2312"/>
          <w:color w:val="000000"/>
          <w:sz w:val="32"/>
          <w:szCs w:val="32"/>
        </w:rPr>
      </w:pPr>
      <w:r>
        <w:rPr>
          <w:rFonts w:hint="eastAsia" w:eastAsia="仿宋_GB2312"/>
          <w:color w:val="000000"/>
          <w:sz w:val="32"/>
          <w:szCs w:val="32"/>
        </w:rPr>
        <w:t>供应商自行承担与参加谈判采购活动有关的一切费用。</w:t>
      </w:r>
    </w:p>
    <w:bookmarkEnd w:id="48"/>
    <w:bookmarkEnd w:id="49"/>
    <w:bookmarkEnd w:id="50"/>
    <w:bookmarkEnd w:id="51"/>
    <w:p>
      <w:pPr>
        <w:spacing w:line="560" w:lineRule="exact"/>
        <w:ind w:firstLine="643" w:firstLineChars="200"/>
        <w:rPr>
          <w:rFonts w:eastAsia="仿宋_GB2312"/>
          <w:b/>
          <w:bCs/>
          <w:color w:val="000000"/>
          <w:sz w:val="32"/>
          <w:szCs w:val="32"/>
        </w:rPr>
      </w:pPr>
      <w:bookmarkStart w:id="53" w:name="PO_默认文件内容_24"/>
      <w:r>
        <w:rPr>
          <w:rFonts w:eastAsia="仿宋_GB2312"/>
          <w:b/>
          <w:bCs/>
          <w:color w:val="000000"/>
          <w:sz w:val="32"/>
          <w:szCs w:val="32"/>
        </w:rPr>
        <w:t>4.</w:t>
      </w:r>
      <w:r>
        <w:rPr>
          <w:rFonts w:hint="eastAsia" w:eastAsia="仿宋_GB2312"/>
          <w:b/>
          <w:bCs/>
          <w:color w:val="000000"/>
          <w:sz w:val="32"/>
          <w:szCs w:val="32"/>
        </w:rPr>
        <w:t>充分与公平竞争保障措施</w:t>
      </w:r>
    </w:p>
    <w:p>
      <w:pPr>
        <w:numPr>
          <w:ilvl w:val="255"/>
          <w:numId w:val="0"/>
        </w:numPr>
        <w:spacing w:line="560" w:lineRule="exact"/>
        <w:ind w:firstLine="640" w:firstLineChars="200"/>
        <w:rPr>
          <w:rFonts w:eastAsia="仿宋_GB2312"/>
          <w:color w:val="000000"/>
          <w:sz w:val="32"/>
          <w:szCs w:val="32"/>
        </w:rPr>
      </w:pPr>
      <w:r>
        <w:rPr>
          <w:rFonts w:hint="eastAsia" w:eastAsia="仿宋_GB2312"/>
          <w:color w:val="000000"/>
          <w:sz w:val="32"/>
          <w:szCs w:val="32"/>
          <w:lang w:bidi="zh-CN"/>
        </w:rPr>
        <w:t>4</w:t>
      </w:r>
      <w:r>
        <w:rPr>
          <w:rFonts w:eastAsia="仿宋_GB2312"/>
          <w:color w:val="000000"/>
          <w:sz w:val="32"/>
          <w:szCs w:val="32"/>
          <w:lang w:val="zh-CN" w:bidi="zh-CN"/>
        </w:rPr>
        <w:t>.1</w:t>
      </w:r>
      <w:r>
        <w:rPr>
          <w:rFonts w:hint="eastAsia" w:eastAsia="仿宋_GB2312"/>
          <w:color w:val="000000"/>
          <w:sz w:val="32"/>
          <w:szCs w:val="32"/>
        </w:rPr>
        <w:t>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pPr>
        <w:numPr>
          <w:ilvl w:val="255"/>
          <w:numId w:val="0"/>
        </w:numPr>
        <w:spacing w:line="560" w:lineRule="exact"/>
        <w:ind w:firstLine="640" w:firstLineChars="200"/>
        <w:rPr>
          <w:rFonts w:eastAsia="仿宋_GB2312"/>
          <w:color w:val="000000"/>
          <w:sz w:val="32"/>
          <w:szCs w:val="32"/>
        </w:rPr>
      </w:pPr>
      <w:r>
        <w:rPr>
          <w:rFonts w:hint="eastAsia" w:eastAsia="仿宋_GB2312"/>
          <w:color w:val="000000"/>
          <w:sz w:val="32"/>
          <w:szCs w:val="32"/>
          <w:lang w:bidi="zh-CN"/>
        </w:rPr>
        <w:t>4</w:t>
      </w:r>
      <w:r>
        <w:rPr>
          <w:rFonts w:eastAsia="仿宋_GB2312"/>
          <w:color w:val="000000"/>
          <w:sz w:val="32"/>
          <w:szCs w:val="32"/>
          <w:lang w:val="zh-CN" w:bidi="zh-CN"/>
        </w:rPr>
        <w:t>.2</w:t>
      </w:r>
      <w:r>
        <w:rPr>
          <w:rFonts w:hint="eastAsia" w:eastAsia="仿宋_GB2312"/>
          <w:color w:val="000000"/>
          <w:sz w:val="32"/>
          <w:szCs w:val="32"/>
        </w:rPr>
        <w:t>利害关系授权代表处理。两家以上的供应商不得在同一合同项下的采购项目中，委托同一个自然人、同一家庭的人员、同一单位的人员作为其授权代表，否则，其响应文件作为无效处理。</w:t>
      </w:r>
    </w:p>
    <w:p>
      <w:pPr>
        <w:numPr>
          <w:ilvl w:val="255"/>
          <w:numId w:val="0"/>
        </w:numPr>
        <w:spacing w:line="560" w:lineRule="exact"/>
        <w:ind w:firstLine="640" w:firstLineChars="200"/>
        <w:rPr>
          <w:rFonts w:eastAsia="仿宋_GB2312"/>
          <w:color w:val="000000"/>
          <w:sz w:val="32"/>
          <w:szCs w:val="32"/>
        </w:rPr>
      </w:pPr>
      <w:r>
        <w:rPr>
          <w:rFonts w:hint="eastAsia" w:eastAsia="仿宋_GB2312"/>
          <w:color w:val="000000"/>
          <w:sz w:val="32"/>
          <w:szCs w:val="32"/>
          <w:lang w:bidi="zh-CN"/>
        </w:rPr>
        <w:t>4</w:t>
      </w:r>
      <w:r>
        <w:rPr>
          <w:rFonts w:eastAsia="仿宋_GB2312"/>
          <w:color w:val="000000"/>
          <w:sz w:val="32"/>
          <w:szCs w:val="32"/>
          <w:lang w:val="zh-CN" w:bidi="zh-CN"/>
        </w:rPr>
        <w:t>.3</w:t>
      </w:r>
      <w:r>
        <w:rPr>
          <w:rFonts w:hint="eastAsia" w:eastAsia="仿宋_GB2312"/>
          <w:color w:val="000000"/>
          <w:sz w:val="32"/>
          <w:szCs w:val="32"/>
        </w:rPr>
        <w:t>前期参与供应商处理。为采购项目提供整体设计、规范（技术标准）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商务要求、评审因素和标准、采购合同等实质性内容条款的，视同为采购项目提供规范（技术标准）编制。</w:t>
      </w:r>
    </w:p>
    <w:p>
      <w:pPr>
        <w:numPr>
          <w:ilvl w:val="255"/>
          <w:numId w:val="0"/>
        </w:numPr>
        <w:spacing w:line="560" w:lineRule="exact"/>
        <w:ind w:firstLine="640" w:firstLineChars="200"/>
        <w:jc w:val="left"/>
        <w:rPr>
          <w:rFonts w:eastAsia="仿宋_GB2312"/>
          <w:color w:val="000000"/>
          <w:sz w:val="32"/>
          <w:szCs w:val="32"/>
        </w:rPr>
      </w:pPr>
      <w:r>
        <w:rPr>
          <w:rFonts w:hint="eastAsia" w:eastAsia="仿宋_GB2312"/>
          <w:color w:val="000000"/>
          <w:sz w:val="32"/>
          <w:szCs w:val="32"/>
          <w:lang w:bidi="zh-CN"/>
        </w:rPr>
        <w:t>4</w:t>
      </w:r>
      <w:r>
        <w:rPr>
          <w:rFonts w:eastAsia="仿宋_GB2312"/>
          <w:color w:val="000000"/>
          <w:sz w:val="32"/>
          <w:szCs w:val="32"/>
          <w:lang w:val="zh-CN" w:bidi="zh-CN"/>
        </w:rPr>
        <w:t>.</w:t>
      </w:r>
      <w:r>
        <w:rPr>
          <w:rFonts w:hint="eastAsia" w:eastAsia="仿宋_GB2312"/>
          <w:color w:val="000000"/>
          <w:sz w:val="32"/>
          <w:szCs w:val="32"/>
          <w:lang w:bidi="zh-CN"/>
        </w:rPr>
        <w:t>4</w:t>
      </w:r>
      <w:r>
        <w:rPr>
          <w:rFonts w:hint="eastAsia" w:eastAsia="仿宋_GB2312"/>
          <w:color w:val="000000"/>
          <w:sz w:val="32"/>
          <w:szCs w:val="32"/>
        </w:rPr>
        <w:t>同一母公司的两家以上的子公司不得以不同供应商身份同时参加本项目同一合同项下的采购活动。</w:t>
      </w:r>
    </w:p>
    <w:p>
      <w:pPr>
        <w:numPr>
          <w:ilvl w:val="255"/>
          <w:numId w:val="0"/>
        </w:numPr>
        <w:spacing w:line="560" w:lineRule="exact"/>
        <w:ind w:firstLine="640" w:firstLineChars="200"/>
        <w:jc w:val="left"/>
        <w:rPr>
          <w:rFonts w:eastAsia="仿宋_GB2312"/>
          <w:color w:val="000000"/>
          <w:sz w:val="32"/>
          <w:szCs w:val="32"/>
        </w:rPr>
      </w:pPr>
      <w:r>
        <w:rPr>
          <w:rFonts w:hint="eastAsia" w:eastAsia="仿宋_GB2312"/>
          <w:color w:val="000000"/>
          <w:sz w:val="32"/>
          <w:szCs w:val="32"/>
          <w:lang w:bidi="zh-CN"/>
        </w:rPr>
        <w:t>4</w:t>
      </w:r>
      <w:r>
        <w:rPr>
          <w:rFonts w:eastAsia="仿宋_GB2312"/>
          <w:color w:val="000000"/>
          <w:sz w:val="32"/>
          <w:szCs w:val="32"/>
          <w:lang w:val="zh-CN" w:bidi="zh-CN"/>
        </w:rPr>
        <w:t>.</w:t>
      </w:r>
      <w:r>
        <w:rPr>
          <w:rFonts w:hint="eastAsia" w:eastAsia="仿宋_GB2312"/>
          <w:color w:val="000000"/>
          <w:sz w:val="32"/>
          <w:szCs w:val="32"/>
          <w:lang w:bidi="zh-CN"/>
        </w:rPr>
        <w:t>5</w:t>
      </w:r>
      <w:r>
        <w:rPr>
          <w:rFonts w:hint="eastAsia" w:eastAsia="仿宋_GB2312"/>
          <w:color w:val="000000"/>
          <w:sz w:val="32"/>
          <w:szCs w:val="32"/>
        </w:rPr>
        <w:t>回避。采购活动中，采购人员及相关人员与供应商有下列利害关系之一的，应当回避：</w:t>
      </w:r>
    </w:p>
    <w:p>
      <w:pPr>
        <w:tabs>
          <w:tab w:val="left" w:pos="1534"/>
        </w:tabs>
        <w:spacing w:line="560" w:lineRule="exact"/>
        <w:ind w:firstLine="640" w:firstLineChars="200"/>
        <w:jc w:val="left"/>
        <w:rPr>
          <w:rFonts w:eastAsia="仿宋_GB2312"/>
          <w:color w:val="000000"/>
          <w:sz w:val="32"/>
          <w:szCs w:val="32"/>
        </w:rPr>
      </w:pPr>
      <w:r>
        <w:rPr>
          <w:rFonts w:hint="eastAsia" w:eastAsia="仿宋_GB2312"/>
          <w:color w:val="000000"/>
          <w:sz w:val="32"/>
          <w:szCs w:val="32"/>
        </w:rPr>
        <w:t>①参加采购活动前</w:t>
      </w:r>
      <w:r>
        <w:rPr>
          <w:rFonts w:eastAsia="仿宋_GB2312"/>
          <w:color w:val="000000"/>
          <w:sz w:val="32"/>
          <w:szCs w:val="32"/>
        </w:rPr>
        <w:t>1</w:t>
      </w:r>
      <w:r>
        <w:rPr>
          <w:rFonts w:hint="eastAsia" w:eastAsia="仿宋_GB2312"/>
          <w:color w:val="000000"/>
          <w:sz w:val="32"/>
          <w:szCs w:val="32"/>
        </w:rPr>
        <w:t>年内与供应商存在劳动关系；</w:t>
      </w:r>
    </w:p>
    <w:p>
      <w:pPr>
        <w:tabs>
          <w:tab w:val="left" w:pos="1534"/>
        </w:tabs>
        <w:spacing w:line="560" w:lineRule="exact"/>
        <w:ind w:firstLine="640" w:firstLineChars="200"/>
        <w:jc w:val="left"/>
        <w:rPr>
          <w:rFonts w:eastAsia="仿宋_GB2312"/>
          <w:color w:val="000000"/>
          <w:sz w:val="32"/>
          <w:szCs w:val="32"/>
        </w:rPr>
      </w:pPr>
      <w:r>
        <w:rPr>
          <w:rFonts w:hint="eastAsia" w:eastAsia="仿宋_GB2312"/>
          <w:color w:val="000000"/>
          <w:sz w:val="32"/>
          <w:szCs w:val="32"/>
        </w:rPr>
        <w:t>②参加采购活动前</w:t>
      </w:r>
      <w:r>
        <w:rPr>
          <w:rFonts w:eastAsia="仿宋_GB2312"/>
          <w:color w:val="000000"/>
          <w:sz w:val="32"/>
          <w:szCs w:val="32"/>
        </w:rPr>
        <w:t>1</w:t>
      </w:r>
      <w:r>
        <w:rPr>
          <w:rFonts w:hint="eastAsia" w:eastAsia="仿宋_GB2312"/>
          <w:color w:val="000000"/>
          <w:sz w:val="32"/>
          <w:szCs w:val="32"/>
        </w:rPr>
        <w:t>年内担任供应商的董事、监事；</w:t>
      </w:r>
    </w:p>
    <w:p>
      <w:pPr>
        <w:tabs>
          <w:tab w:val="left" w:pos="1534"/>
        </w:tabs>
        <w:spacing w:line="560" w:lineRule="exact"/>
        <w:ind w:firstLine="640" w:firstLineChars="200"/>
        <w:jc w:val="left"/>
        <w:rPr>
          <w:rFonts w:eastAsia="仿宋_GB2312"/>
          <w:color w:val="000000"/>
          <w:sz w:val="32"/>
          <w:szCs w:val="32"/>
        </w:rPr>
      </w:pPr>
      <w:r>
        <w:rPr>
          <w:rFonts w:hint="eastAsia" w:eastAsia="仿宋_GB2312"/>
          <w:color w:val="000000"/>
          <w:sz w:val="32"/>
          <w:szCs w:val="32"/>
        </w:rPr>
        <w:t>③参加采购活动前</w:t>
      </w:r>
      <w:r>
        <w:rPr>
          <w:rFonts w:eastAsia="仿宋_GB2312"/>
          <w:color w:val="000000"/>
          <w:sz w:val="32"/>
          <w:szCs w:val="32"/>
        </w:rPr>
        <w:t>1</w:t>
      </w:r>
      <w:r>
        <w:rPr>
          <w:rFonts w:hint="eastAsia" w:eastAsia="仿宋_GB2312"/>
          <w:color w:val="000000"/>
          <w:sz w:val="32"/>
          <w:szCs w:val="32"/>
        </w:rPr>
        <w:t>年内是供应商的控股股东或者实际控制人；</w:t>
      </w:r>
    </w:p>
    <w:p>
      <w:pPr>
        <w:tabs>
          <w:tab w:val="left" w:pos="1534"/>
        </w:tabs>
        <w:spacing w:line="560" w:lineRule="exact"/>
        <w:ind w:firstLine="640" w:firstLineChars="200"/>
        <w:jc w:val="left"/>
        <w:rPr>
          <w:rFonts w:eastAsia="仿宋_GB2312"/>
          <w:color w:val="000000"/>
          <w:sz w:val="32"/>
          <w:szCs w:val="32"/>
        </w:rPr>
      </w:pPr>
      <w:r>
        <w:rPr>
          <w:rFonts w:hint="eastAsia" w:eastAsia="仿宋_GB2312"/>
          <w:color w:val="000000"/>
          <w:sz w:val="32"/>
          <w:szCs w:val="32"/>
        </w:rPr>
        <w:t>④与供应商的法定代表人或者负责人有夫妻、直系血亲、三代以内旁系血亲或者近姻亲关系；</w:t>
      </w:r>
    </w:p>
    <w:p>
      <w:pPr>
        <w:tabs>
          <w:tab w:val="left" w:pos="1534"/>
        </w:tabs>
        <w:spacing w:line="560" w:lineRule="exact"/>
        <w:ind w:firstLine="640" w:firstLineChars="200"/>
        <w:jc w:val="left"/>
        <w:rPr>
          <w:rFonts w:eastAsia="仿宋_GB2312"/>
          <w:color w:val="000000"/>
          <w:sz w:val="32"/>
          <w:szCs w:val="32"/>
        </w:rPr>
      </w:pPr>
      <w:r>
        <w:rPr>
          <w:rFonts w:hint="eastAsia" w:eastAsia="仿宋_GB2312"/>
          <w:color w:val="000000"/>
          <w:sz w:val="32"/>
          <w:szCs w:val="32"/>
        </w:rPr>
        <w:t>⑤与供应商有其他可能影响采购活动公平、公正进行的关系。</w:t>
      </w:r>
    </w:p>
    <w:p>
      <w:pPr>
        <w:spacing w:line="560" w:lineRule="exact"/>
        <w:ind w:firstLine="640" w:firstLineChars="200"/>
        <w:jc w:val="left"/>
        <w:rPr>
          <w:rFonts w:eastAsia="仿宋_GB2312"/>
          <w:color w:val="000000"/>
          <w:sz w:val="32"/>
          <w:szCs w:val="32"/>
        </w:rPr>
      </w:pPr>
      <w:r>
        <w:rPr>
          <w:rFonts w:hint="eastAsia" w:eastAsia="仿宋_GB2312"/>
          <w:color w:val="000000"/>
          <w:sz w:val="32"/>
          <w:szCs w:val="32"/>
        </w:rPr>
        <w:t>本项目采购活动中需要依法回避的采购人员是指采购人内部负责采购项目的具体经办工作人员和直接分管采购项目的负责人。本项目采购活动中需要依法回避的相关人员是指谈判小组成员。供应商认为采购人员及相关人员与其他供应商有利害关系的，可以向采购人书面提出回避申请，并说明理由。采购人将及时询问被申请回避人员，有利害关系的被申请回避人员应当回避。</w:t>
      </w:r>
    </w:p>
    <w:p>
      <w:pPr>
        <w:spacing w:line="560" w:lineRule="exact"/>
        <w:ind w:firstLine="640" w:firstLineChars="200"/>
        <w:jc w:val="left"/>
        <w:rPr>
          <w:rFonts w:eastAsia="仿宋_GB2312"/>
          <w:color w:val="000000"/>
          <w:sz w:val="32"/>
          <w:szCs w:val="32"/>
        </w:rPr>
      </w:pPr>
      <w:r>
        <w:rPr>
          <w:rFonts w:hint="eastAsia" w:eastAsia="仿宋_GB2312"/>
          <w:color w:val="000000"/>
          <w:sz w:val="32"/>
          <w:szCs w:val="32"/>
        </w:rPr>
        <w:br w:type="page"/>
      </w:r>
    </w:p>
    <w:p>
      <w:pPr>
        <w:pStyle w:val="4"/>
        <w:spacing w:before="0" w:after="0" w:line="560" w:lineRule="exact"/>
        <w:jc w:val="center"/>
        <w:rPr>
          <w:kern w:val="32"/>
        </w:rPr>
      </w:pPr>
      <w:r>
        <w:rPr>
          <w:rFonts w:hint="eastAsia" w:ascii="Times New Roman" w:hAnsi="Times New Roman" w:cs="Times New Roman"/>
          <w:b w:val="0"/>
          <w:bCs w:val="0"/>
          <w:kern w:val="32"/>
        </w:rPr>
        <w:t>（二）谈判文件</w:t>
      </w:r>
    </w:p>
    <w:p>
      <w:pPr>
        <w:numPr>
          <w:ilvl w:val="255"/>
          <w:numId w:val="0"/>
        </w:numPr>
        <w:spacing w:line="560" w:lineRule="exact"/>
        <w:ind w:firstLine="640" w:firstLineChars="200"/>
        <w:rPr>
          <w:rFonts w:eastAsia="仿宋_GB2312"/>
          <w:color w:val="000000"/>
          <w:sz w:val="32"/>
          <w:szCs w:val="32"/>
        </w:rPr>
      </w:pPr>
      <w:r>
        <w:rPr>
          <w:rFonts w:hint="eastAsia" w:eastAsia="仿宋_GB2312"/>
          <w:color w:val="000000"/>
          <w:sz w:val="32"/>
          <w:szCs w:val="32"/>
        </w:rPr>
        <w:t>1.谈判文件是供应商准备响应文件和参加谈判的依据，同时也是谈判的重要依据。谈判文件用以阐明谈判项目所需的资质、技术、服务及报价等要求、谈判程序、有关规定和注意事项以及合同主要条款等。</w:t>
      </w:r>
    </w:p>
    <w:p>
      <w:pPr>
        <w:numPr>
          <w:ilvl w:val="255"/>
          <w:numId w:val="0"/>
        </w:numPr>
        <w:spacing w:line="560" w:lineRule="exact"/>
        <w:ind w:firstLine="640" w:firstLineChars="200"/>
        <w:rPr>
          <w:rFonts w:eastAsia="仿宋_GB2312"/>
          <w:color w:val="000000"/>
          <w:sz w:val="32"/>
          <w:szCs w:val="32"/>
        </w:rPr>
      </w:pPr>
      <w:r>
        <w:rPr>
          <w:rFonts w:hint="eastAsia" w:eastAsia="仿宋_GB2312"/>
          <w:color w:val="000000"/>
          <w:sz w:val="32"/>
          <w:szCs w:val="32"/>
        </w:rPr>
        <w:t>2.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pPr>
        <w:spacing w:line="560" w:lineRule="exact"/>
        <w:ind w:firstLine="640" w:firstLineChars="200"/>
        <w:rPr>
          <w:rFonts w:eastAsia="仿宋_GB2312"/>
          <w:color w:val="000000"/>
          <w:sz w:val="32"/>
          <w:szCs w:val="32"/>
        </w:rPr>
      </w:pPr>
      <w:r>
        <w:rPr>
          <w:rFonts w:hint="eastAsia" w:eastAsia="仿宋_GB2312"/>
          <w:color w:val="000000"/>
          <w:sz w:val="32"/>
          <w:szCs w:val="32"/>
        </w:rPr>
        <w:br w:type="page"/>
      </w:r>
    </w:p>
    <w:p>
      <w:pPr>
        <w:pStyle w:val="4"/>
        <w:spacing w:before="0" w:after="0" w:line="560" w:lineRule="exact"/>
        <w:jc w:val="center"/>
        <w:rPr>
          <w:rFonts w:ascii="Times New Roman" w:hAnsi="Times New Roman" w:cs="Times New Roman"/>
          <w:b w:val="0"/>
          <w:bCs w:val="0"/>
          <w:kern w:val="32"/>
        </w:rPr>
      </w:pPr>
      <w:r>
        <w:rPr>
          <w:rFonts w:hint="eastAsia" w:ascii="Times New Roman" w:hAnsi="Times New Roman" w:cs="Times New Roman"/>
          <w:b w:val="0"/>
          <w:bCs w:val="0"/>
          <w:kern w:val="32"/>
        </w:rPr>
        <w:t>（三）响应文件</w:t>
      </w:r>
    </w:p>
    <w:p>
      <w:pPr>
        <w:spacing w:line="560" w:lineRule="exact"/>
        <w:ind w:firstLine="640" w:firstLineChars="200"/>
        <w:rPr>
          <w:rFonts w:eastAsia="仿宋_GB2312"/>
          <w:color w:val="000000"/>
          <w:sz w:val="32"/>
          <w:szCs w:val="32"/>
        </w:rPr>
      </w:pPr>
      <w:r>
        <w:rPr>
          <w:rFonts w:hint="eastAsia" w:eastAsia="仿宋_GB2312"/>
          <w:color w:val="000000"/>
          <w:sz w:val="32"/>
          <w:szCs w:val="32"/>
        </w:rPr>
        <w:t>1.供应商应按照谈判文件的规定和要求编制响应文件。供应商编写的响应文件应包括资格性响应文件和其他响应文件两部分，分册装订。</w:t>
      </w:r>
    </w:p>
    <w:p>
      <w:pPr>
        <w:numPr>
          <w:ilvl w:val="1"/>
          <w:numId w:val="0"/>
        </w:numPr>
        <w:tabs>
          <w:tab w:val="left" w:pos="1473"/>
        </w:tabs>
        <w:spacing w:line="560" w:lineRule="exact"/>
        <w:ind w:firstLine="640" w:firstLineChars="200"/>
        <w:rPr>
          <w:rFonts w:eastAsia="仿宋_GB2312"/>
          <w:color w:val="000000"/>
          <w:sz w:val="32"/>
          <w:szCs w:val="32"/>
        </w:rPr>
      </w:pPr>
      <w:r>
        <w:rPr>
          <w:rFonts w:hint="eastAsia" w:eastAsia="仿宋_GB2312"/>
          <w:color w:val="000000"/>
          <w:sz w:val="32"/>
          <w:szCs w:val="32"/>
        </w:rPr>
        <w:t>2.资格性响应文件和其他响应文件正本</w:t>
      </w:r>
      <w:r>
        <w:rPr>
          <w:rFonts w:eastAsia="仿宋_GB2312"/>
          <w:color w:val="000000"/>
          <w:sz w:val="32"/>
          <w:szCs w:val="32"/>
        </w:rPr>
        <w:t>1</w:t>
      </w:r>
      <w:r>
        <w:rPr>
          <w:rFonts w:hint="eastAsia" w:eastAsia="仿宋_GB2312"/>
          <w:color w:val="000000"/>
          <w:sz w:val="32"/>
          <w:szCs w:val="32"/>
        </w:rPr>
        <w:t>份副本2份电子文档</w:t>
      </w:r>
      <w:r>
        <w:rPr>
          <w:rFonts w:eastAsia="仿宋_GB2312"/>
          <w:color w:val="000000"/>
          <w:sz w:val="32"/>
          <w:szCs w:val="32"/>
        </w:rPr>
        <w:t>U</w:t>
      </w:r>
      <w:r>
        <w:rPr>
          <w:rFonts w:hint="eastAsia" w:eastAsia="仿宋_GB2312"/>
          <w:color w:val="000000"/>
          <w:sz w:val="32"/>
          <w:szCs w:val="32"/>
        </w:rPr>
        <w:t>盘</w:t>
      </w:r>
      <w:r>
        <w:rPr>
          <w:rFonts w:eastAsia="仿宋_GB2312"/>
          <w:color w:val="000000"/>
          <w:sz w:val="32"/>
          <w:szCs w:val="32"/>
        </w:rPr>
        <w:t>1</w:t>
      </w:r>
      <w:r>
        <w:rPr>
          <w:rFonts w:hint="eastAsia" w:eastAsia="仿宋_GB2312"/>
          <w:color w:val="000000"/>
          <w:sz w:val="32"/>
          <w:szCs w:val="32"/>
        </w:rPr>
        <w:t>份，并在其封面上清楚地标明资格性响应文件、采购项目名称、采购项目编号、包件号及名称（若有）、供应商名称以及“正本”或“副本”字样。若正本和副本有不一致的内容，以正本书面响应文件为准。</w:t>
      </w:r>
    </w:p>
    <w:p>
      <w:pPr>
        <w:spacing w:line="560" w:lineRule="exact"/>
        <w:ind w:firstLine="640" w:firstLineChars="200"/>
        <w:rPr>
          <w:rFonts w:eastAsia="仿宋_GB2312"/>
          <w:color w:val="000000"/>
          <w:sz w:val="32"/>
          <w:szCs w:val="32"/>
        </w:rPr>
      </w:pPr>
      <w:r>
        <w:rPr>
          <w:rFonts w:hint="eastAsia" w:eastAsia="仿宋_GB2312"/>
          <w:color w:val="000000"/>
          <w:sz w:val="32"/>
          <w:szCs w:val="32"/>
        </w:rPr>
        <w:t>3.响应文件可以单独密封包装，也可以所有响应文件密封包装在一个密封袋内。</w:t>
      </w:r>
    </w:p>
    <w:p>
      <w:pPr>
        <w:spacing w:line="560" w:lineRule="exact"/>
        <w:ind w:right="493" w:firstLine="640" w:firstLineChars="200"/>
        <w:jc w:val="center"/>
        <w:rPr>
          <w:rFonts w:eastAsia="仿宋_GB2312"/>
          <w:color w:val="000000"/>
        </w:rPr>
      </w:pPr>
      <w:r>
        <w:rPr>
          <w:rFonts w:eastAsia="仿宋_GB2312"/>
          <w:color w:val="000000"/>
          <w:sz w:val="32"/>
          <w:szCs w:val="32"/>
        </w:rPr>
        <w:t>4.</w:t>
      </w:r>
      <w:r>
        <w:rPr>
          <w:rFonts w:hint="eastAsia" w:eastAsia="仿宋_GB2312"/>
          <w:color w:val="000000"/>
          <w:sz w:val="32"/>
          <w:szCs w:val="32"/>
        </w:rPr>
        <w:t>供应商需符合采购文件中实质性要求规定，实质性要求包括：控制价（最高限价）、充分与公平竞争保障措施、合同转（分）包、重要文书格式、商务条款中必须响应和满足的规定条款等。</w:t>
      </w:r>
    </w:p>
    <w:p>
      <w:pPr>
        <w:pStyle w:val="4"/>
        <w:spacing w:before="0" w:after="0" w:line="560" w:lineRule="exact"/>
        <w:jc w:val="center"/>
        <w:rPr>
          <w:rFonts w:ascii="Times New Roman" w:hAnsi="Times New Roman" w:cs="Times New Roman"/>
          <w:b w:val="0"/>
          <w:bCs w:val="0"/>
          <w:kern w:val="32"/>
        </w:rPr>
      </w:pPr>
      <w:r>
        <w:rPr>
          <w:rFonts w:hint="eastAsia" w:ascii="Times New Roman" w:hAnsi="Times New Roman" w:cs="Times New Roman"/>
          <w:b w:val="0"/>
          <w:bCs w:val="0"/>
          <w:kern w:val="32"/>
        </w:rPr>
        <w:t>（四）成交事项</w:t>
      </w:r>
    </w:p>
    <w:p>
      <w:pPr>
        <w:spacing w:line="560" w:lineRule="exact"/>
        <w:ind w:firstLine="640" w:firstLineChars="200"/>
        <w:rPr>
          <w:rFonts w:eastAsia="仿宋_GB2312"/>
          <w:color w:val="000000"/>
          <w:sz w:val="32"/>
          <w:szCs w:val="32"/>
        </w:rPr>
      </w:pPr>
      <w:r>
        <w:rPr>
          <w:rFonts w:hint="eastAsia" w:eastAsia="仿宋_GB2312"/>
          <w:color w:val="000000"/>
          <w:sz w:val="32"/>
          <w:szCs w:val="32"/>
        </w:rPr>
        <w:t>1.采购人授权谈判小组按推荐的成交候选供应商顺序直接确定成交供应商。</w:t>
      </w:r>
    </w:p>
    <w:p>
      <w:pPr>
        <w:numPr>
          <w:ilvl w:val="255"/>
          <w:numId w:val="0"/>
        </w:numPr>
        <w:spacing w:line="560" w:lineRule="exact"/>
        <w:ind w:firstLine="640" w:firstLineChars="200"/>
        <w:jc w:val="left"/>
        <w:rPr>
          <w:rFonts w:eastAsia="仿宋_GB2312"/>
          <w:color w:val="000000"/>
          <w:sz w:val="32"/>
          <w:szCs w:val="32"/>
        </w:rPr>
      </w:pPr>
      <w:r>
        <w:rPr>
          <w:rFonts w:eastAsia="仿宋_GB2312"/>
          <w:color w:val="000000"/>
          <w:sz w:val="32"/>
          <w:szCs w:val="32"/>
        </w:rPr>
        <w:t>2.</w:t>
      </w:r>
      <w:r>
        <w:rPr>
          <w:rFonts w:hint="eastAsia" w:eastAsia="仿宋_GB2312"/>
          <w:color w:val="000000"/>
          <w:sz w:val="32"/>
          <w:szCs w:val="32"/>
        </w:rPr>
        <w:t>采购人确定成交供应商过程中，发现候选供应商有下列情形之一的，应当不予确定其为成交供应商：</w:t>
      </w:r>
    </w:p>
    <w:p>
      <w:pPr>
        <w:numPr>
          <w:ilvl w:val="255"/>
          <w:numId w:val="0"/>
        </w:numPr>
        <w:spacing w:line="560" w:lineRule="exact"/>
        <w:ind w:firstLine="640" w:firstLineChars="200"/>
        <w:jc w:val="left"/>
        <w:rPr>
          <w:rFonts w:eastAsia="仿宋_GB2312"/>
          <w:color w:val="000000"/>
          <w:sz w:val="32"/>
          <w:szCs w:val="32"/>
        </w:rPr>
      </w:pPr>
      <w:bookmarkStart w:id="54" w:name="（1）候选供应商属于禁止参加本项目采购活动的；"/>
      <w:bookmarkEnd w:id="54"/>
      <w:r>
        <w:rPr>
          <w:rFonts w:hint="eastAsia" w:eastAsia="仿宋_GB2312"/>
          <w:color w:val="000000"/>
          <w:sz w:val="32"/>
          <w:szCs w:val="32"/>
        </w:rPr>
        <w:t>（1）候选供应商属于禁止参加本项目采购活动的；</w:t>
      </w:r>
    </w:p>
    <w:p>
      <w:pPr>
        <w:numPr>
          <w:ilvl w:val="255"/>
          <w:numId w:val="0"/>
        </w:numPr>
        <w:spacing w:line="560" w:lineRule="exact"/>
        <w:ind w:firstLine="640" w:firstLineChars="200"/>
        <w:jc w:val="left"/>
        <w:rPr>
          <w:rFonts w:eastAsia="仿宋_GB2312"/>
          <w:color w:val="000000"/>
          <w:sz w:val="32"/>
          <w:szCs w:val="32"/>
        </w:rPr>
      </w:pPr>
      <w:bookmarkStart w:id="55" w:name="（2）候选供应商因不可抗力，不能继续参加采购活动；"/>
      <w:bookmarkEnd w:id="55"/>
      <w:r>
        <w:rPr>
          <w:rFonts w:hint="eastAsia" w:eastAsia="仿宋_GB2312"/>
          <w:color w:val="000000"/>
          <w:sz w:val="32"/>
          <w:szCs w:val="32"/>
        </w:rPr>
        <w:t>（2）候选供应商因不可抗力，不能继续参加采购活动；</w:t>
      </w:r>
    </w:p>
    <w:p>
      <w:pPr>
        <w:numPr>
          <w:ilvl w:val="255"/>
          <w:numId w:val="0"/>
        </w:numPr>
        <w:spacing w:line="560" w:lineRule="exact"/>
        <w:ind w:firstLine="640" w:firstLineChars="200"/>
        <w:jc w:val="left"/>
        <w:rPr>
          <w:rFonts w:eastAsia="仿宋_GB2312"/>
          <w:color w:val="000000"/>
          <w:sz w:val="32"/>
          <w:szCs w:val="32"/>
        </w:rPr>
      </w:pPr>
      <w:bookmarkStart w:id="56" w:name="（3）候选供应商无偿赠与或者低于成本价竞争；"/>
      <w:bookmarkEnd w:id="56"/>
      <w:r>
        <w:rPr>
          <w:rFonts w:hint="eastAsia" w:eastAsia="仿宋_GB2312"/>
          <w:color w:val="000000"/>
          <w:sz w:val="32"/>
          <w:szCs w:val="32"/>
        </w:rPr>
        <w:t>（3）候选供应商无偿赠与或者低于成本价竞争；</w:t>
      </w:r>
    </w:p>
    <w:p>
      <w:pPr>
        <w:numPr>
          <w:ilvl w:val="255"/>
          <w:numId w:val="0"/>
        </w:numPr>
        <w:spacing w:line="560" w:lineRule="exact"/>
        <w:ind w:firstLine="640" w:firstLineChars="200"/>
        <w:jc w:val="left"/>
        <w:rPr>
          <w:rFonts w:eastAsia="仿宋_GB2312"/>
          <w:color w:val="000000"/>
          <w:sz w:val="32"/>
          <w:szCs w:val="32"/>
        </w:rPr>
      </w:pPr>
      <w:bookmarkStart w:id="57" w:name="（4）候选供应商提供虚假资料；"/>
      <w:bookmarkEnd w:id="57"/>
      <w:r>
        <w:rPr>
          <w:rFonts w:hint="eastAsia" w:eastAsia="仿宋_GB2312"/>
          <w:color w:val="000000"/>
          <w:sz w:val="32"/>
          <w:szCs w:val="32"/>
        </w:rPr>
        <w:t>（4）候选供应商提供虚假资料；</w:t>
      </w:r>
    </w:p>
    <w:p>
      <w:pPr>
        <w:numPr>
          <w:ilvl w:val="255"/>
          <w:numId w:val="0"/>
        </w:numPr>
        <w:spacing w:line="560" w:lineRule="exact"/>
        <w:ind w:firstLine="640" w:firstLineChars="200"/>
        <w:jc w:val="left"/>
        <w:rPr>
          <w:rFonts w:eastAsia="仿宋_GB2312"/>
          <w:color w:val="000000"/>
          <w:sz w:val="32"/>
          <w:szCs w:val="32"/>
        </w:rPr>
      </w:pPr>
      <w:bookmarkStart w:id="58" w:name="（5）候选供应商恶意串通。"/>
      <w:bookmarkEnd w:id="58"/>
      <w:r>
        <w:rPr>
          <w:rFonts w:hint="eastAsia" w:eastAsia="仿宋_GB2312"/>
          <w:color w:val="000000"/>
          <w:sz w:val="32"/>
          <w:szCs w:val="32"/>
        </w:rPr>
        <w:t>（5）候选供应商恶意串通。</w:t>
      </w:r>
    </w:p>
    <w:p>
      <w:pPr>
        <w:spacing w:line="560" w:lineRule="exact"/>
        <w:ind w:firstLine="640" w:firstLineChars="200"/>
        <w:rPr>
          <w:rFonts w:eastAsia="仿宋_GB2312"/>
          <w:color w:val="000000"/>
          <w:sz w:val="32"/>
          <w:szCs w:val="32"/>
        </w:rPr>
      </w:pPr>
      <w:bookmarkStart w:id="59" w:name="候选供应商有本条情形之一的，采购人可以确定后一位候选供应商为成交供应商，依次类推"/>
      <w:bookmarkEnd w:id="59"/>
      <w:r>
        <w:rPr>
          <w:rFonts w:hint="eastAsia" w:eastAsia="仿宋_GB2312"/>
          <w:color w:val="000000"/>
          <w:sz w:val="32"/>
          <w:szCs w:val="32"/>
        </w:rPr>
        <w:t>候选供应商有本条情形之一的，采购人可以确定后一位序候选供应商为成交供应商，依次类推。无法确定成交供应商的，应当重新组织采购。</w:t>
      </w:r>
    </w:p>
    <w:p>
      <w:pPr>
        <w:pStyle w:val="4"/>
        <w:spacing w:before="0" w:after="0" w:line="560" w:lineRule="exact"/>
        <w:jc w:val="center"/>
        <w:rPr>
          <w:rFonts w:ascii="Times New Roman" w:hAnsi="Times New Roman" w:cs="Times New Roman"/>
          <w:b w:val="0"/>
          <w:bCs w:val="0"/>
          <w:kern w:val="32"/>
        </w:rPr>
      </w:pPr>
      <w:r>
        <w:rPr>
          <w:rFonts w:hint="eastAsia" w:ascii="Times New Roman" w:hAnsi="Times New Roman" w:cs="Times New Roman"/>
          <w:b w:val="0"/>
          <w:bCs w:val="0"/>
          <w:kern w:val="32"/>
        </w:rPr>
        <w:t>（五）合同事项</w:t>
      </w:r>
    </w:p>
    <w:p>
      <w:pPr>
        <w:numPr>
          <w:ilvl w:val="255"/>
          <w:numId w:val="0"/>
        </w:numPr>
        <w:spacing w:line="560" w:lineRule="exact"/>
        <w:ind w:firstLine="640" w:firstLineChars="200"/>
        <w:rPr>
          <w:rFonts w:eastAsia="仿宋_GB2312"/>
          <w:color w:val="000000"/>
          <w:sz w:val="32"/>
          <w:szCs w:val="32"/>
        </w:rPr>
      </w:pPr>
      <w:r>
        <w:rPr>
          <w:rFonts w:hint="eastAsia" w:eastAsia="仿宋_GB2312"/>
          <w:color w:val="000000"/>
          <w:sz w:val="32"/>
          <w:szCs w:val="32"/>
        </w:rPr>
        <w:t>1.成交供应商应在成交通知书发出之日起30日内与采购人签订采购合同。由于成交供应商的原因逾期未与采购人签订采购合同的，将视为放弃成交，取消其成交资格并将按相关规定进行处理。</w:t>
      </w:r>
    </w:p>
    <w:p>
      <w:pPr>
        <w:spacing w:line="560" w:lineRule="exact"/>
        <w:ind w:firstLine="640" w:firstLineChars="200"/>
        <w:rPr>
          <w:rFonts w:eastAsia="仿宋_GB2312"/>
          <w:color w:val="000000"/>
          <w:sz w:val="32"/>
          <w:szCs w:val="32"/>
        </w:rPr>
      </w:pPr>
      <w:r>
        <w:rPr>
          <w:rFonts w:hint="eastAsia" w:eastAsia="仿宋_GB2312"/>
          <w:color w:val="000000"/>
          <w:sz w:val="32"/>
          <w:szCs w:val="32"/>
        </w:rPr>
        <w:t>2.成交供应商因不可抗力原因不能履行采购合同或放弃成交的，采购人可以与后一位序的候选供应商签订采购合同，以此类推。</w:t>
      </w:r>
    </w:p>
    <w:p>
      <w:pPr>
        <w:spacing w:line="560" w:lineRule="exact"/>
        <w:ind w:firstLine="640" w:firstLineChars="200"/>
        <w:rPr>
          <w:rFonts w:eastAsia="仿宋_GB2312"/>
          <w:color w:val="000000"/>
          <w:sz w:val="32"/>
          <w:szCs w:val="32"/>
        </w:rPr>
      </w:pPr>
      <w:r>
        <w:rPr>
          <w:rFonts w:eastAsia="仿宋_GB2312"/>
          <w:color w:val="000000"/>
          <w:sz w:val="32"/>
          <w:szCs w:val="32"/>
        </w:rPr>
        <w:t>3.</w:t>
      </w:r>
      <w:r>
        <w:rPr>
          <w:rFonts w:hint="eastAsia" w:eastAsia="仿宋_GB2312"/>
          <w:color w:val="000000"/>
          <w:sz w:val="32"/>
          <w:szCs w:val="32"/>
        </w:rPr>
        <w:t>补充合同：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pPr>
        <w:spacing w:line="560" w:lineRule="exact"/>
        <w:ind w:firstLine="640" w:firstLineChars="200"/>
        <w:rPr>
          <w:rFonts w:eastAsia="仿宋_GB2312"/>
          <w:color w:val="000000"/>
          <w:sz w:val="32"/>
          <w:szCs w:val="32"/>
        </w:rPr>
      </w:pPr>
      <w:r>
        <w:rPr>
          <w:rFonts w:eastAsia="仿宋_GB2312"/>
          <w:color w:val="000000"/>
          <w:sz w:val="32"/>
          <w:szCs w:val="32"/>
        </w:rPr>
        <w:br w:type="page"/>
      </w:r>
    </w:p>
    <w:p>
      <w:pPr>
        <w:pStyle w:val="3"/>
        <w:spacing w:line="240" w:lineRule="auto"/>
        <w:ind w:left="1" w:firstLine="640" w:firstLineChars="200"/>
      </w:pPr>
      <w:r>
        <w:rPr>
          <w:rFonts w:hint="eastAsia"/>
        </w:rPr>
        <w:t>第四章 采购项目资格、技术、服务、商务要求及合同主要条款</w:t>
      </w:r>
    </w:p>
    <w:p>
      <w:pPr>
        <w:spacing w:line="560" w:lineRule="exact"/>
        <w:ind w:left="1"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一、项目介绍</w:t>
      </w:r>
    </w:p>
    <w:p>
      <w:pPr>
        <w:numPr>
          <w:ilvl w:val="0"/>
          <w:numId w:val="0"/>
        </w:numPr>
        <w:spacing w:line="560" w:lineRule="exact"/>
        <w:ind w:firstLine="640" w:firstLineChars="200"/>
        <w:rPr>
          <w:rFonts w:hint="eastAsia" w:eastAsia="仿宋_GB2312"/>
          <w:sz w:val="32"/>
          <w:szCs w:val="32"/>
          <w:u w:val="none"/>
          <w:lang w:val="en-US" w:eastAsia="zh-CN"/>
        </w:rPr>
      </w:pPr>
      <w:r>
        <w:rPr>
          <w:rFonts w:hint="eastAsia" w:eastAsia="仿宋_GB2312"/>
          <w:color w:val="000000"/>
          <w:sz w:val="32"/>
          <w:szCs w:val="32"/>
        </w:rPr>
        <w:t>本项目为</w:t>
      </w:r>
      <w:r>
        <w:rPr>
          <w:rFonts w:hint="eastAsia" w:eastAsia="仿宋_GB2312"/>
          <w:sz w:val="32"/>
          <w:szCs w:val="32"/>
          <w:u w:val="single"/>
          <w:lang w:val="en-US" w:eastAsia="zh-CN"/>
        </w:rPr>
        <w:t>四川省</w:t>
      </w:r>
      <w:r>
        <w:rPr>
          <w:rFonts w:hint="eastAsia" w:eastAsia="仿宋_GB2312"/>
          <w:sz w:val="32"/>
          <w:szCs w:val="32"/>
          <w:u w:val="single"/>
        </w:rPr>
        <w:t>都江堰</w:t>
      </w:r>
      <w:r>
        <w:rPr>
          <w:rFonts w:hint="eastAsia" w:eastAsia="仿宋_GB2312"/>
          <w:sz w:val="32"/>
          <w:szCs w:val="32"/>
          <w:u w:val="single"/>
          <w:lang w:val="en-US" w:eastAsia="zh-CN"/>
        </w:rPr>
        <w:t>水利发展中心</w:t>
      </w:r>
      <w:r>
        <w:rPr>
          <w:rFonts w:hint="eastAsia" w:eastAsia="仿宋_GB2312"/>
          <w:sz w:val="32"/>
          <w:szCs w:val="32"/>
          <w:u w:val="single"/>
        </w:rPr>
        <w:t>人民渠第一管理处</w:t>
      </w:r>
      <w:r>
        <w:rPr>
          <w:rFonts w:hint="eastAsia" w:eastAsia="仿宋_GB2312"/>
          <w:sz w:val="32"/>
          <w:szCs w:val="32"/>
          <w:u w:val="single"/>
          <w:lang w:val="en-US" w:eastAsia="zh-CN"/>
        </w:rPr>
        <w:t>处属各水利管理站标识标牌采购</w:t>
      </w:r>
      <w:r>
        <w:rPr>
          <w:rFonts w:hint="eastAsia" w:eastAsia="仿宋_GB2312"/>
          <w:sz w:val="32"/>
          <w:szCs w:val="32"/>
          <w:u w:val="single"/>
        </w:rPr>
        <w:t>项目</w:t>
      </w:r>
      <w:r>
        <w:rPr>
          <w:rFonts w:hint="eastAsia" w:eastAsia="仿宋_GB2312"/>
          <w:color w:val="000000"/>
          <w:sz w:val="32"/>
          <w:szCs w:val="32"/>
        </w:rPr>
        <w:t>，</w:t>
      </w:r>
      <w:r>
        <w:rPr>
          <w:rFonts w:hint="eastAsia" w:eastAsia="仿宋_GB2312"/>
          <w:sz w:val="32"/>
          <w:szCs w:val="32"/>
          <w:u w:val="none"/>
          <w:lang w:val="en-US" w:eastAsia="zh-CN"/>
        </w:rPr>
        <w:t>主要分为彭州水利管理站、什邡水利管理站、永兴水利管理站、青白江水利管理站、新繁水利管理站及锦水河枢纽五个部分进行实施。</w:t>
      </w:r>
    </w:p>
    <w:p>
      <w:pPr>
        <w:spacing w:line="360" w:lineRule="auto"/>
        <w:ind w:firstLine="640" w:firstLineChars="200"/>
        <w:rPr>
          <w:rFonts w:eastAsia="仿宋_GB2312"/>
          <w:color w:val="000000"/>
          <w:sz w:val="32"/>
          <w:szCs w:val="32"/>
        </w:rPr>
      </w:pPr>
      <w:r>
        <w:rPr>
          <w:rFonts w:hint="eastAsia" w:eastAsia="仿宋_GB2312"/>
          <w:color w:val="000000"/>
          <w:sz w:val="32"/>
          <w:szCs w:val="32"/>
        </w:rPr>
        <w:t>项目地点位于成都市新都区、</w:t>
      </w:r>
      <w:r>
        <w:rPr>
          <w:rFonts w:hint="eastAsia" w:eastAsia="仿宋_GB2312"/>
          <w:color w:val="000000"/>
          <w:sz w:val="32"/>
          <w:szCs w:val="32"/>
          <w:lang w:val="en-US" w:eastAsia="zh-CN"/>
        </w:rPr>
        <w:t>青白江区、彭州市、什邡市</w:t>
      </w:r>
      <w:r>
        <w:rPr>
          <w:rFonts w:hint="eastAsia" w:eastAsia="仿宋_GB2312"/>
          <w:color w:val="000000"/>
          <w:sz w:val="32"/>
          <w:szCs w:val="32"/>
        </w:rPr>
        <w:t>境内，主要建设内容：</w:t>
      </w:r>
    </w:p>
    <w:p>
      <w:pPr>
        <w:spacing w:line="360" w:lineRule="auto"/>
        <w:ind w:firstLine="640" w:firstLineChars="200"/>
        <w:rPr>
          <w:rFonts w:hint="eastAsia" w:eastAsia="仿宋_GB2312"/>
          <w:color w:val="000000"/>
          <w:sz w:val="32"/>
          <w:szCs w:val="32"/>
          <w:lang w:eastAsia="zh-CN"/>
        </w:rPr>
      </w:pPr>
      <w:r>
        <w:rPr>
          <w:rFonts w:hint="eastAsia" w:eastAsia="仿宋_GB2312"/>
          <w:color w:val="000000"/>
          <w:sz w:val="32"/>
          <w:szCs w:val="32"/>
        </w:rPr>
        <w:t>1、对</w:t>
      </w:r>
      <w:r>
        <w:rPr>
          <w:rFonts w:hint="eastAsia" w:eastAsia="仿宋_GB2312"/>
          <w:color w:val="000000"/>
          <w:sz w:val="32"/>
          <w:szCs w:val="32"/>
          <w:lang w:val="en-US" w:eastAsia="zh-CN"/>
        </w:rPr>
        <w:t>四川省都江堰水利发展中心人民渠第一管理处处属各水利管理站及锦水河枢纽标识标牌制作及安装等（详见清单）</w:t>
      </w:r>
      <w:r>
        <w:rPr>
          <w:rFonts w:hint="eastAsia" w:eastAsia="仿宋_GB2312"/>
          <w:color w:val="000000"/>
          <w:sz w:val="32"/>
          <w:szCs w:val="32"/>
          <w:lang w:eastAsia="zh-CN"/>
        </w:rPr>
        <w:t>；</w:t>
      </w:r>
    </w:p>
    <w:p>
      <w:pPr>
        <w:spacing w:line="360" w:lineRule="auto"/>
        <w:ind w:firstLine="640" w:firstLineChars="200"/>
        <w:rPr>
          <w:rFonts w:hint="default" w:eastAsia="仿宋_GB2312"/>
          <w:color w:val="000000"/>
          <w:sz w:val="32"/>
          <w:szCs w:val="32"/>
          <w:lang w:val="en-US" w:eastAsia="zh-CN"/>
        </w:rPr>
      </w:pPr>
      <w:r>
        <w:rPr>
          <w:rFonts w:hint="eastAsia" w:eastAsia="仿宋_GB2312"/>
          <w:color w:val="000000"/>
          <w:sz w:val="32"/>
          <w:szCs w:val="32"/>
        </w:rPr>
        <w:t>2、</w:t>
      </w:r>
      <w:r>
        <w:rPr>
          <w:rFonts w:hint="eastAsia" w:eastAsia="仿宋_GB2312"/>
          <w:color w:val="000000"/>
          <w:sz w:val="32"/>
          <w:szCs w:val="32"/>
          <w:lang w:val="en-US" w:eastAsia="zh-CN"/>
        </w:rPr>
        <w:t>标识标牌清单及样式按照四川省都江堰水利发展中心视觉识别系统相关文件要求进行制作安装；</w:t>
      </w:r>
    </w:p>
    <w:p>
      <w:pPr>
        <w:pStyle w:val="17"/>
        <w:rPr>
          <w:rFonts w:hint="default" w:eastAsia="仿宋_GB2312"/>
          <w:lang w:val="en-US" w:eastAsia="zh-CN"/>
        </w:rPr>
      </w:pPr>
      <w:r>
        <w:rPr>
          <w:rFonts w:hint="eastAsia"/>
        </w:rPr>
        <w:t xml:space="preserve"> </w:t>
      </w:r>
      <w:r>
        <w:t xml:space="preserve">  </w:t>
      </w:r>
      <w:r>
        <w:rPr>
          <w:rFonts w:eastAsia="仿宋_GB2312"/>
          <w:color w:val="000000"/>
          <w:sz w:val="32"/>
          <w:szCs w:val="32"/>
        </w:rPr>
        <w:t xml:space="preserve">  3</w:t>
      </w:r>
      <w:r>
        <w:rPr>
          <w:rFonts w:hint="eastAsia" w:eastAsia="仿宋_GB2312"/>
          <w:color w:val="000000"/>
          <w:sz w:val="32"/>
          <w:szCs w:val="32"/>
        </w:rPr>
        <w:t>、</w:t>
      </w:r>
      <w:r>
        <w:rPr>
          <w:rFonts w:hint="eastAsia" w:eastAsia="仿宋_GB2312"/>
          <w:color w:val="000000"/>
          <w:sz w:val="32"/>
          <w:szCs w:val="32"/>
          <w:lang w:val="en-US" w:eastAsia="zh-CN"/>
        </w:rPr>
        <w:t>新更换视觉识别系统（标识标牌）配色以目前已投入使用的视觉识别系统模板为准。</w:t>
      </w:r>
    </w:p>
    <w:p>
      <w:pPr>
        <w:spacing w:line="560" w:lineRule="exact"/>
        <w:ind w:left="1" w:firstLine="640" w:firstLineChars="200"/>
        <w:rPr>
          <w:rFonts w:eastAsia="仿宋_GB2312"/>
          <w:color w:val="000000"/>
          <w:sz w:val="32"/>
          <w:szCs w:val="32"/>
        </w:rPr>
      </w:pPr>
      <w:r>
        <w:rPr>
          <w:rFonts w:hint="eastAsia" w:eastAsia="仿宋_GB2312"/>
          <w:sz w:val="32"/>
          <w:szCs w:val="32"/>
          <w:u w:val="single"/>
          <w:lang w:val="en-US" w:eastAsia="zh-CN"/>
        </w:rPr>
        <w:t>四川省</w:t>
      </w:r>
      <w:r>
        <w:rPr>
          <w:rFonts w:hint="eastAsia" w:eastAsia="仿宋_GB2312"/>
          <w:sz w:val="32"/>
          <w:szCs w:val="32"/>
          <w:u w:val="single"/>
        </w:rPr>
        <w:t>都江堰</w:t>
      </w:r>
      <w:r>
        <w:rPr>
          <w:rFonts w:hint="eastAsia" w:eastAsia="仿宋_GB2312"/>
          <w:sz w:val="32"/>
          <w:szCs w:val="32"/>
          <w:u w:val="single"/>
          <w:lang w:val="en-US" w:eastAsia="zh-CN"/>
        </w:rPr>
        <w:t>水利发展中心</w:t>
      </w:r>
      <w:r>
        <w:rPr>
          <w:rFonts w:hint="eastAsia" w:eastAsia="仿宋_GB2312"/>
          <w:sz w:val="32"/>
          <w:szCs w:val="32"/>
          <w:u w:val="single"/>
        </w:rPr>
        <w:t>人民渠第一管理处</w:t>
      </w:r>
      <w:r>
        <w:rPr>
          <w:rFonts w:hint="eastAsia" w:eastAsia="仿宋_GB2312"/>
          <w:sz w:val="32"/>
          <w:szCs w:val="32"/>
          <w:u w:val="single"/>
          <w:lang w:val="en-US" w:eastAsia="zh-CN"/>
        </w:rPr>
        <w:t>处属各水利管理站视觉识别系统采购</w:t>
      </w:r>
      <w:r>
        <w:rPr>
          <w:rFonts w:hint="eastAsia" w:eastAsia="仿宋_GB2312"/>
          <w:sz w:val="32"/>
          <w:szCs w:val="32"/>
          <w:u w:val="single"/>
        </w:rPr>
        <w:t>项目</w:t>
      </w:r>
      <w:r>
        <w:rPr>
          <w:rFonts w:hint="eastAsia" w:eastAsia="仿宋_GB2312"/>
          <w:color w:val="000000"/>
          <w:sz w:val="32"/>
          <w:szCs w:val="32"/>
        </w:rPr>
        <w:t>，采购最高限价为</w:t>
      </w:r>
      <w:r>
        <w:rPr>
          <w:rFonts w:hint="default" w:eastAsia="仿宋_GB2312"/>
          <w:color w:val="000000"/>
          <w:sz w:val="32"/>
          <w:szCs w:val="32"/>
          <w:u w:val="single"/>
          <w:lang w:val="zh-CN"/>
        </w:rPr>
        <w:t>¥</w:t>
      </w:r>
      <w:r>
        <w:rPr>
          <w:rFonts w:hint="eastAsia" w:eastAsia="仿宋_GB2312"/>
          <w:color w:val="000000"/>
          <w:sz w:val="32"/>
          <w:szCs w:val="32"/>
          <w:u w:val="single"/>
          <w:lang w:val="en-US" w:eastAsia="zh-CN"/>
        </w:rPr>
        <w:t>112656.00</w:t>
      </w:r>
      <w:r>
        <w:rPr>
          <w:rFonts w:hint="eastAsia" w:eastAsia="仿宋_GB2312"/>
          <w:color w:val="000000"/>
          <w:sz w:val="32"/>
          <w:szCs w:val="32"/>
        </w:rPr>
        <w:t>元（人民币）。</w:t>
      </w:r>
    </w:p>
    <w:p>
      <w:pPr>
        <w:spacing w:line="560" w:lineRule="exact"/>
        <w:ind w:firstLine="643"/>
        <w:rPr>
          <w:rFonts w:ascii="黑体" w:hAnsi="黑体" w:eastAsia="黑体" w:cs="黑体"/>
          <w:color w:val="000000"/>
          <w:sz w:val="32"/>
          <w:szCs w:val="32"/>
          <w:lang w:bidi="ar"/>
        </w:rPr>
      </w:pPr>
      <w:r>
        <w:rPr>
          <w:rFonts w:hint="eastAsia" w:ascii="黑体" w:hAnsi="黑体" w:eastAsia="黑体" w:cs="黑体"/>
          <w:color w:val="000000"/>
          <w:sz w:val="32"/>
          <w:szCs w:val="32"/>
          <w:lang w:bidi="ar"/>
        </w:rPr>
        <w:t>二、供应商必须提交的资格证明材料：</w:t>
      </w:r>
    </w:p>
    <w:p>
      <w:pPr>
        <w:spacing w:line="560" w:lineRule="exact"/>
        <w:ind w:firstLine="643"/>
        <w:rPr>
          <w:rFonts w:eastAsia="仿宋_GB2312"/>
          <w:color w:val="000000"/>
          <w:sz w:val="32"/>
          <w:szCs w:val="32"/>
        </w:rPr>
      </w:pPr>
      <w:r>
        <w:rPr>
          <w:rFonts w:hint="eastAsia" w:eastAsia="仿宋_GB2312"/>
          <w:color w:val="000000"/>
          <w:sz w:val="32"/>
          <w:szCs w:val="32"/>
        </w:rPr>
        <w:t>1.营业执照副本；（加盖供应商公章）</w:t>
      </w:r>
    </w:p>
    <w:p>
      <w:pPr>
        <w:spacing w:line="560" w:lineRule="exact"/>
        <w:ind w:firstLine="643"/>
        <w:rPr>
          <w:rFonts w:eastAsia="仿宋_GB2312"/>
          <w:color w:val="000000"/>
          <w:sz w:val="32"/>
          <w:szCs w:val="32"/>
        </w:rPr>
      </w:pPr>
      <w:r>
        <w:rPr>
          <w:rFonts w:hint="eastAsia" w:eastAsia="仿宋_GB2312"/>
          <w:color w:val="000000"/>
          <w:sz w:val="32"/>
          <w:szCs w:val="32"/>
        </w:rPr>
        <w:t>2.其他类似效力要求：法定代表人（主要负责人/经营者）授权书原件及法定代表人（主要负责人、经营者）代理人身份证明材料复印件（注：授权书按竞争性谈判文件第六章“法定代表人（主要负责人/经营者）授权书”格式提供；如响应文件均由供应商法定代表人（主要负责人、经营者）签署的，不需提供法定代表人（主要负责人/经营者）授权书及代理人身份证明材料复印件，但必须提供法定代表人（主要负责人、经营者）身份证明材料复印件加盖供应商公章。）</w:t>
      </w:r>
    </w:p>
    <w:p>
      <w:pPr>
        <w:spacing w:line="560" w:lineRule="exact"/>
        <w:ind w:firstLine="643"/>
        <w:rPr>
          <w:rFonts w:eastAsia="仿宋_GB2312"/>
          <w:color w:val="000000"/>
          <w:sz w:val="32"/>
          <w:szCs w:val="32"/>
        </w:rPr>
      </w:pPr>
      <w:r>
        <w:rPr>
          <w:rFonts w:hint="eastAsia" w:eastAsia="仿宋_GB2312"/>
          <w:color w:val="000000"/>
          <w:sz w:val="32"/>
          <w:szCs w:val="32"/>
          <w:lang w:val="en-US" w:eastAsia="zh-CN"/>
        </w:rPr>
        <w:t>3</w:t>
      </w:r>
      <w:r>
        <w:rPr>
          <w:rFonts w:eastAsia="仿宋_GB2312"/>
          <w:color w:val="000000"/>
          <w:sz w:val="32"/>
          <w:szCs w:val="32"/>
        </w:rPr>
        <w:t>.</w:t>
      </w:r>
      <w:r>
        <w:rPr>
          <w:rFonts w:hint="eastAsia" w:eastAsia="仿宋_GB2312"/>
          <w:color w:val="000000"/>
          <w:sz w:val="32"/>
          <w:szCs w:val="32"/>
        </w:rPr>
        <w:t>截至响应文件提交截止日，“信用中国”网站被列入政府采购严重违法失信行为记录名单、失信被执行人名单、重大税收违法失信主体</w:t>
      </w:r>
      <w:r>
        <w:rPr>
          <w:rFonts w:eastAsia="仿宋_GB2312"/>
          <w:sz w:val="32"/>
          <w:szCs w:val="32"/>
        </w:rPr>
        <w:t>网页</w:t>
      </w:r>
      <w:r>
        <w:rPr>
          <w:rFonts w:hint="eastAsia" w:eastAsia="仿宋_GB2312"/>
          <w:sz w:val="32"/>
          <w:szCs w:val="32"/>
        </w:rPr>
        <w:t>查询</w:t>
      </w:r>
      <w:r>
        <w:rPr>
          <w:rFonts w:eastAsia="仿宋_GB2312"/>
          <w:sz w:val="32"/>
          <w:szCs w:val="32"/>
        </w:rPr>
        <w:t>截图。</w:t>
      </w:r>
      <w:r>
        <w:rPr>
          <w:rFonts w:hint="eastAsia" w:eastAsia="仿宋_GB2312"/>
          <w:color w:val="000000"/>
          <w:sz w:val="32"/>
          <w:szCs w:val="32"/>
        </w:rPr>
        <w:t>（加盖供应商公章）</w:t>
      </w:r>
    </w:p>
    <w:p>
      <w:pPr>
        <w:spacing w:line="560" w:lineRule="exact"/>
        <w:ind w:firstLine="643"/>
        <w:rPr>
          <w:rFonts w:eastAsia="仿宋_GB2312"/>
          <w:color w:val="000000"/>
          <w:sz w:val="32"/>
          <w:szCs w:val="32"/>
        </w:rPr>
      </w:pPr>
      <w:r>
        <w:rPr>
          <w:rFonts w:hint="eastAsia" w:eastAsia="仿宋_GB2312"/>
          <w:color w:val="000000"/>
          <w:sz w:val="32"/>
          <w:szCs w:val="32"/>
          <w:lang w:val="en-US" w:eastAsia="zh-CN"/>
        </w:rPr>
        <w:t>4</w:t>
      </w:r>
      <w:r>
        <w:rPr>
          <w:rFonts w:hint="eastAsia" w:eastAsia="仿宋_GB2312"/>
          <w:color w:val="000000"/>
          <w:sz w:val="32"/>
          <w:szCs w:val="32"/>
        </w:rPr>
        <w:t>.谈判文件要求的其他材料；</w:t>
      </w:r>
    </w:p>
    <w:p>
      <w:pPr>
        <w:spacing w:line="560" w:lineRule="exact"/>
        <w:ind w:firstLine="643"/>
        <w:rPr>
          <w:rFonts w:ascii="黑体" w:hAnsi="黑体" w:eastAsia="黑体" w:cs="黑体"/>
          <w:color w:val="000000"/>
          <w:sz w:val="32"/>
          <w:szCs w:val="32"/>
          <w:lang w:bidi="ar"/>
        </w:rPr>
      </w:pPr>
      <w:r>
        <w:rPr>
          <w:rFonts w:hint="eastAsia" w:ascii="黑体" w:hAnsi="黑体" w:eastAsia="黑体" w:cs="黑体"/>
          <w:color w:val="000000"/>
          <w:sz w:val="32"/>
          <w:szCs w:val="32"/>
          <w:lang w:bidi="ar"/>
        </w:rPr>
        <w:t>三、工程需求一览</w:t>
      </w:r>
      <w:r>
        <w:rPr>
          <w:rFonts w:hint="eastAsia" w:ascii="黑体" w:hAnsi="黑体" w:eastAsia="黑体" w:cs="黑体"/>
          <w:b/>
          <w:bCs/>
          <w:color w:val="000000"/>
          <w:sz w:val="32"/>
          <w:szCs w:val="32"/>
          <w:lang w:bidi="ar"/>
        </w:rPr>
        <w:t>表及主要</w:t>
      </w:r>
      <w:r>
        <w:rPr>
          <w:rFonts w:hint="eastAsia" w:ascii="黑体" w:hAnsi="黑体" w:eastAsia="黑体" w:cs="黑体"/>
          <w:color w:val="000000"/>
          <w:sz w:val="32"/>
          <w:szCs w:val="32"/>
          <w:lang w:bidi="ar"/>
        </w:rPr>
        <w:t>技术指标参数要求</w:t>
      </w:r>
    </w:p>
    <w:p>
      <w:pPr>
        <w:spacing w:line="560" w:lineRule="exact"/>
        <w:ind w:firstLine="643"/>
        <w:rPr>
          <w:rFonts w:hint="eastAsia" w:eastAsia="仿宋_GB2312"/>
          <w:color w:val="000000"/>
          <w:sz w:val="32"/>
          <w:szCs w:val="32"/>
          <w:lang w:val="en-US" w:eastAsia="zh-CN"/>
        </w:rPr>
      </w:pPr>
      <w:r>
        <w:rPr>
          <w:rFonts w:hint="eastAsia" w:eastAsia="仿宋_GB2312"/>
          <w:color w:val="000000"/>
          <w:sz w:val="32"/>
          <w:szCs w:val="32"/>
        </w:rPr>
        <w:t>1.工程量清单</w:t>
      </w:r>
      <w:r>
        <w:rPr>
          <w:rFonts w:hint="eastAsia" w:eastAsia="仿宋_GB2312"/>
          <w:color w:val="000000"/>
          <w:sz w:val="32"/>
          <w:szCs w:val="32"/>
          <w:lang w:val="en-US" w:eastAsia="zh-CN"/>
        </w:rPr>
        <w:t>及项目特征</w:t>
      </w:r>
    </w:p>
    <w:p>
      <w:pPr>
        <w:pStyle w:val="17"/>
        <w:rPr>
          <w:rFonts w:hint="eastAsia" w:eastAsia="仿宋_GB2312"/>
          <w:color w:val="000000"/>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docGrid w:type="lines" w:linePitch="312" w:charSpace="0"/>
        </w:sectPr>
      </w:pPr>
    </w:p>
    <w:p>
      <w:pPr>
        <w:jc w:val="center"/>
        <w:rPr>
          <w:rFonts w:hint="eastAsia"/>
          <w:sz w:val="36"/>
          <w:szCs w:val="36"/>
          <w:lang w:val="en-US" w:eastAsia="zh-CN"/>
        </w:rPr>
      </w:pPr>
      <w:r>
        <w:rPr>
          <w:rFonts w:hint="eastAsia"/>
          <w:sz w:val="36"/>
          <w:szCs w:val="36"/>
          <w:lang w:val="en-US" w:eastAsia="zh-CN"/>
        </w:rPr>
        <w:t>四川省都江堰水利发展中心人民渠第一管理处标识标工程量清单报价表</w:t>
      </w:r>
    </w:p>
    <w:p>
      <w:pPr>
        <w:pStyle w:val="17"/>
        <w:rPr>
          <w:rFonts w:hint="eastAsia"/>
          <w:lang w:val="en-US" w:eastAsia="zh-CN"/>
        </w:rPr>
      </w:pPr>
    </w:p>
    <w:tbl>
      <w:tblPr>
        <w:tblStyle w:val="41"/>
        <w:tblW w:w="207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8"/>
        <w:gridCol w:w="1040"/>
        <w:gridCol w:w="2828"/>
        <w:gridCol w:w="3250"/>
        <w:gridCol w:w="2850"/>
        <w:gridCol w:w="3183"/>
        <w:gridCol w:w="2776"/>
        <w:gridCol w:w="872"/>
        <w:gridCol w:w="951"/>
        <w:gridCol w:w="1144"/>
        <w:gridCol w:w="10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6" w:hRule="atLeast"/>
          <w:jc w:val="center"/>
        </w:trPr>
        <w:tc>
          <w:tcPr>
            <w:tcW w:w="76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序号</w:t>
            </w:r>
          </w:p>
        </w:tc>
        <w:tc>
          <w:tcPr>
            <w:tcW w:w="105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分类</w:t>
            </w:r>
          </w:p>
        </w:tc>
        <w:tc>
          <w:tcPr>
            <w:tcW w:w="283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名称</w:t>
            </w:r>
          </w:p>
        </w:tc>
        <w:tc>
          <w:tcPr>
            <w:tcW w:w="340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图样</w:t>
            </w:r>
          </w:p>
        </w:tc>
        <w:tc>
          <w:tcPr>
            <w:tcW w:w="2910"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适用范围</w:t>
            </w:r>
          </w:p>
        </w:tc>
        <w:tc>
          <w:tcPr>
            <w:tcW w:w="329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工艺</w:t>
            </w:r>
          </w:p>
        </w:tc>
        <w:tc>
          <w:tcPr>
            <w:tcW w:w="233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标准尺寸</w:t>
            </w:r>
            <w:r>
              <w:rPr>
                <w:rFonts w:hint="eastAsia" w:ascii="宋体" w:hAnsi="宋体" w:eastAsia="宋体" w:cs="宋体"/>
                <w:b/>
                <w:bCs/>
                <w:i w:val="0"/>
                <w:iCs w:val="0"/>
                <w:color w:val="000000"/>
                <w:kern w:val="0"/>
                <w:sz w:val="32"/>
                <w:szCs w:val="32"/>
                <w:u w:val="none"/>
                <w:lang w:val="en-US" w:eastAsia="zh-CN" w:bidi="ar"/>
              </w:rPr>
              <w:br w:type="textWrapping"/>
            </w:r>
            <w:r>
              <w:rPr>
                <w:rStyle w:val="165"/>
                <w:lang w:val="en-US" w:eastAsia="zh-CN" w:bidi="ar"/>
              </w:rPr>
              <w:t>（mm）</w:t>
            </w:r>
          </w:p>
        </w:tc>
        <w:tc>
          <w:tcPr>
            <w:tcW w:w="891"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单位</w:t>
            </w:r>
          </w:p>
        </w:tc>
        <w:tc>
          <w:tcPr>
            <w:tcW w:w="962"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数量</w:t>
            </w:r>
          </w:p>
        </w:tc>
        <w:tc>
          <w:tcPr>
            <w:tcW w:w="1179"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总价</w:t>
            </w:r>
          </w:p>
        </w:tc>
        <w:tc>
          <w:tcPr>
            <w:tcW w:w="111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4" w:hRule="atLeast"/>
          <w:jc w:val="center"/>
        </w:trPr>
        <w:tc>
          <w:tcPr>
            <w:tcW w:w="1659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52"/>
                <w:szCs w:val="52"/>
                <w:u w:val="none"/>
              </w:rPr>
            </w:pPr>
            <w:r>
              <w:rPr>
                <w:rFonts w:hint="eastAsia" w:ascii="宋体" w:hAnsi="宋体" w:eastAsia="宋体" w:cs="宋体"/>
                <w:b/>
                <w:bCs/>
                <w:i w:val="0"/>
                <w:iCs w:val="0"/>
                <w:color w:val="000000"/>
                <w:kern w:val="0"/>
                <w:sz w:val="52"/>
                <w:szCs w:val="52"/>
                <w:u w:val="none"/>
                <w:lang w:val="en-US" w:eastAsia="zh-CN" w:bidi="ar"/>
              </w:rPr>
              <w:t>办公区域</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52"/>
                <w:szCs w:val="52"/>
                <w:u w:val="none"/>
              </w:rPr>
            </w:pPr>
          </w:p>
        </w:tc>
        <w:tc>
          <w:tcPr>
            <w:tcW w:w="2141" w:type="dxa"/>
            <w:gridSpan w:val="2"/>
            <w:tcBorders>
              <w:top w:val="single" w:color="000000" w:sz="4" w:space="0"/>
              <w:left w:val="nil"/>
              <w:bottom w:val="single" w:color="000000" w:sz="4" w:space="0"/>
              <w:right w:val="single" w:color="000000" w:sz="4" w:space="0"/>
            </w:tcBorders>
            <w:shd w:val="clear" w:color="auto" w:fill="FFFF00"/>
            <w:vAlign w:val="center"/>
          </w:tcPr>
          <w:p>
            <w:pPr>
              <w:jc w:val="center"/>
              <w:rPr>
                <w:rFonts w:hint="eastAsia" w:ascii="宋体" w:hAnsi="宋体" w:eastAsia="宋体" w:cs="宋体"/>
                <w:b/>
                <w:bCs/>
                <w:i w:val="0"/>
                <w:iCs w:val="0"/>
                <w:color w:val="000000"/>
                <w:sz w:val="52"/>
                <w:szCs w:val="52"/>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52"/>
                <w:szCs w:val="5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公告类标识标牌</w:t>
            </w:r>
          </w:p>
        </w:tc>
        <w:tc>
          <w:tcPr>
            <w:tcW w:w="2831"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工作人员去向牌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（4人）</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513080</wp:posOffset>
                  </wp:positionH>
                  <wp:positionV relativeFrom="paragraph">
                    <wp:posOffset>136525</wp:posOffset>
                  </wp:positionV>
                  <wp:extent cx="1174115" cy="1157605"/>
                  <wp:effectExtent l="0" t="0" r="6985" b="4445"/>
                  <wp:wrapNone/>
                  <wp:docPr id="345" name="图片_86"/>
                  <wp:cNvGraphicFramePr/>
                  <a:graphic xmlns:a="http://schemas.openxmlformats.org/drawingml/2006/main">
                    <a:graphicData uri="http://schemas.openxmlformats.org/drawingml/2006/picture">
                      <pic:pic xmlns:pic="http://schemas.openxmlformats.org/drawingml/2006/picture">
                        <pic:nvPicPr>
                          <pic:cNvPr id="345" name="图片_86"/>
                          <pic:cNvPicPr/>
                        </pic:nvPicPr>
                        <pic:blipFill>
                          <a:blip r:embed="rId5"/>
                          <a:stretch>
                            <a:fillRect/>
                          </a:stretch>
                        </pic:blipFill>
                        <pic:spPr>
                          <a:xfrm>
                            <a:off x="0" y="0"/>
                            <a:ext cx="1174115" cy="115760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各职能科室、基层站所办公室门口</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古铜色哑光颗粒感不锈钢，亚克力；人 名处为透明亚克力槽，内插卡人名可更换</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500*500mm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工作人员去向牌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（10人）</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539115</wp:posOffset>
                  </wp:positionH>
                  <wp:positionV relativeFrom="paragraph">
                    <wp:posOffset>110490</wp:posOffset>
                  </wp:positionV>
                  <wp:extent cx="789305" cy="1136650"/>
                  <wp:effectExtent l="0" t="0" r="10795" b="6350"/>
                  <wp:wrapNone/>
                  <wp:docPr id="346" name="图片_87"/>
                  <wp:cNvGraphicFramePr/>
                  <a:graphic xmlns:a="http://schemas.openxmlformats.org/drawingml/2006/main">
                    <a:graphicData uri="http://schemas.openxmlformats.org/drawingml/2006/picture">
                      <pic:pic xmlns:pic="http://schemas.openxmlformats.org/drawingml/2006/picture">
                        <pic:nvPicPr>
                          <pic:cNvPr id="346" name="图片_87"/>
                          <pic:cNvPicPr/>
                        </pic:nvPicPr>
                        <pic:blipFill>
                          <a:blip r:embed="rId6"/>
                          <a:stretch>
                            <a:fillRect/>
                          </a:stretch>
                        </pic:blipFill>
                        <pic:spPr>
                          <a:xfrm>
                            <a:off x="0" y="0"/>
                            <a:ext cx="789305" cy="113665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各职能科室、基层站所办公室门口</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古铜色哑光颗粒感不锈钢，亚克力；人 名处为透明亚克力槽，内插卡人名可更换</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755*500mm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办公室内规章制度（操作规程）牌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534035</wp:posOffset>
                  </wp:positionH>
                  <wp:positionV relativeFrom="paragraph">
                    <wp:posOffset>94615</wp:posOffset>
                  </wp:positionV>
                  <wp:extent cx="799465" cy="1204595"/>
                  <wp:effectExtent l="0" t="0" r="635" b="14605"/>
                  <wp:wrapNone/>
                  <wp:docPr id="356" name="图片_57"/>
                  <wp:cNvGraphicFramePr/>
                  <a:graphic xmlns:a="http://schemas.openxmlformats.org/drawingml/2006/main">
                    <a:graphicData uri="http://schemas.openxmlformats.org/drawingml/2006/picture">
                      <pic:pic xmlns:pic="http://schemas.openxmlformats.org/drawingml/2006/picture">
                        <pic:nvPicPr>
                          <pic:cNvPr id="356" name="图片_57"/>
                          <pic:cNvPicPr/>
                        </pic:nvPicPr>
                        <pic:blipFill>
                          <a:blip r:embed="rId7"/>
                          <a:stretch>
                            <a:fillRect/>
                          </a:stretch>
                        </pic:blipFill>
                        <pic:spPr>
                          <a:xfrm>
                            <a:off x="0" y="0"/>
                            <a:ext cx="799465" cy="120459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关键岗位职责及规章制度等内容适用于安装 在机关、基层站所办公室内墙上。</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表面为有机玻璃，抓钉固定四角，框内内容可更替。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高820*宽500mm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133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意见箱</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539115</wp:posOffset>
                  </wp:positionH>
                  <wp:positionV relativeFrom="paragraph">
                    <wp:posOffset>110490</wp:posOffset>
                  </wp:positionV>
                  <wp:extent cx="890270" cy="1073150"/>
                  <wp:effectExtent l="0" t="0" r="5080" b="12700"/>
                  <wp:wrapNone/>
                  <wp:docPr id="361" name="图片_58"/>
                  <wp:cNvGraphicFramePr/>
                  <a:graphic xmlns:a="http://schemas.openxmlformats.org/drawingml/2006/main">
                    <a:graphicData uri="http://schemas.openxmlformats.org/drawingml/2006/picture">
                      <pic:pic xmlns:pic="http://schemas.openxmlformats.org/drawingml/2006/picture">
                        <pic:nvPicPr>
                          <pic:cNvPr id="361" name="图片_58"/>
                          <pic:cNvPicPr/>
                        </pic:nvPicPr>
                        <pic:blipFill>
                          <a:blip r:embed="rId8"/>
                          <a:stretch>
                            <a:fillRect/>
                          </a:stretch>
                        </pic:blipFill>
                        <pic:spPr>
                          <a:xfrm>
                            <a:off x="0" y="0"/>
                            <a:ext cx="890270" cy="107315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机关、基层站所和建筑物管理 房门口，面向社会公众。</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铝合金、密度板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高 285* 宽 230* 厚 120mm；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名称类标识标牌</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设备场所名称牌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（电缆井）</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97790</wp:posOffset>
                  </wp:positionH>
                  <wp:positionV relativeFrom="paragraph">
                    <wp:posOffset>141605</wp:posOffset>
                  </wp:positionV>
                  <wp:extent cx="1929765" cy="833755"/>
                  <wp:effectExtent l="0" t="0" r="13335" b="4445"/>
                  <wp:wrapNone/>
                  <wp:docPr id="359" name="图片_59"/>
                  <wp:cNvGraphicFramePr/>
                  <a:graphic xmlns:a="http://schemas.openxmlformats.org/drawingml/2006/main">
                    <a:graphicData uri="http://schemas.openxmlformats.org/drawingml/2006/picture">
                      <pic:pic xmlns:pic="http://schemas.openxmlformats.org/drawingml/2006/picture">
                        <pic:nvPicPr>
                          <pic:cNvPr id="359" name="图片_59"/>
                          <pic:cNvPicPr/>
                        </pic:nvPicPr>
                        <pic:blipFill>
                          <a:blip r:embed="rId9"/>
                          <a:stretch>
                            <a:fillRect/>
                          </a:stretch>
                        </pic:blipFill>
                        <pic:spPr>
                          <a:xfrm>
                            <a:off x="0" y="0"/>
                            <a:ext cx="1929765" cy="83375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适用于安装在电缆井关键设备区域门牌</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拉丝古铜色色板雕刻</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130*300mm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6</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设备场所名称牌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（路灯）</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240030</wp:posOffset>
                  </wp:positionH>
                  <wp:positionV relativeFrom="paragraph">
                    <wp:posOffset>43180</wp:posOffset>
                  </wp:positionV>
                  <wp:extent cx="1501140" cy="996950"/>
                  <wp:effectExtent l="0" t="0" r="3810" b="12700"/>
                  <wp:wrapNone/>
                  <wp:docPr id="350" name="图片_60"/>
                  <wp:cNvGraphicFramePr/>
                  <a:graphic xmlns:a="http://schemas.openxmlformats.org/drawingml/2006/main">
                    <a:graphicData uri="http://schemas.openxmlformats.org/drawingml/2006/picture">
                      <pic:pic xmlns:pic="http://schemas.openxmlformats.org/drawingml/2006/picture">
                        <pic:nvPicPr>
                          <pic:cNvPr id="350" name="图片_60"/>
                          <pic:cNvPicPr/>
                        </pic:nvPicPr>
                        <pic:blipFill>
                          <a:blip r:embed="rId10"/>
                          <a:stretch>
                            <a:fillRect/>
                          </a:stretch>
                        </pic:blipFill>
                        <pic:spPr>
                          <a:xfrm>
                            <a:off x="0" y="0"/>
                            <a:ext cx="1501140" cy="99695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适用于安装在路灯关键设备区域门牌</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拉丝古铜色色板雕刻</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200*300mm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7</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设备场所名称牌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（喷淋水泵接合器）</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149860</wp:posOffset>
                  </wp:positionH>
                  <wp:positionV relativeFrom="paragraph">
                    <wp:posOffset>33655</wp:posOffset>
                  </wp:positionV>
                  <wp:extent cx="1893570" cy="835025"/>
                  <wp:effectExtent l="0" t="0" r="11430" b="3175"/>
                  <wp:wrapNone/>
                  <wp:docPr id="360" name="图片_61"/>
                  <wp:cNvGraphicFramePr/>
                  <a:graphic xmlns:a="http://schemas.openxmlformats.org/drawingml/2006/main">
                    <a:graphicData uri="http://schemas.openxmlformats.org/drawingml/2006/picture">
                      <pic:pic xmlns:pic="http://schemas.openxmlformats.org/drawingml/2006/picture">
                        <pic:nvPicPr>
                          <pic:cNvPr id="360" name="图片_61"/>
                          <pic:cNvPicPr/>
                        </pic:nvPicPr>
                        <pic:blipFill>
                          <a:blip r:embed="rId11"/>
                          <a:stretch>
                            <a:fillRect/>
                          </a:stretch>
                        </pic:blipFill>
                        <pic:spPr>
                          <a:xfrm>
                            <a:off x="0" y="0"/>
                            <a:ext cx="1893570" cy="83502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适用于安装在喷淋水泵接合器关键设备区域门牌</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拉丝古铜色色板雕刻</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130*300mm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8</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排污泵</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52705</wp:posOffset>
                  </wp:positionV>
                  <wp:extent cx="1955165" cy="916305"/>
                  <wp:effectExtent l="0" t="0" r="6985" b="17145"/>
                  <wp:wrapNone/>
                  <wp:docPr id="354" name="图片_62"/>
                  <wp:cNvGraphicFramePr/>
                  <a:graphic xmlns:a="http://schemas.openxmlformats.org/drawingml/2006/main">
                    <a:graphicData uri="http://schemas.openxmlformats.org/drawingml/2006/picture">
                      <pic:pic xmlns:pic="http://schemas.openxmlformats.org/drawingml/2006/picture">
                        <pic:nvPicPr>
                          <pic:cNvPr id="354" name="图片_62"/>
                          <pic:cNvPicPr/>
                        </pic:nvPicPr>
                        <pic:blipFill>
                          <a:blip r:embed="rId12"/>
                          <a:stretch>
                            <a:fillRect/>
                          </a:stretch>
                        </pic:blipFill>
                        <pic:spPr>
                          <a:xfrm>
                            <a:off x="0" y="0"/>
                            <a:ext cx="1955165" cy="91630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适用于安装在排污泵关键设备区域门牌</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拉丝古铜色色板雕刻</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130*300mm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9</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正压送风机</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211455</wp:posOffset>
                  </wp:positionV>
                  <wp:extent cx="2012315" cy="914400"/>
                  <wp:effectExtent l="0" t="0" r="6985" b="0"/>
                  <wp:wrapNone/>
                  <wp:docPr id="357" name="图片_63"/>
                  <wp:cNvGraphicFramePr/>
                  <a:graphic xmlns:a="http://schemas.openxmlformats.org/drawingml/2006/main">
                    <a:graphicData uri="http://schemas.openxmlformats.org/drawingml/2006/picture">
                      <pic:pic xmlns:pic="http://schemas.openxmlformats.org/drawingml/2006/picture">
                        <pic:nvPicPr>
                          <pic:cNvPr id="357" name="图片_63"/>
                          <pic:cNvPicPr/>
                        </pic:nvPicPr>
                        <pic:blipFill>
                          <a:blip r:embed="rId13"/>
                          <a:stretch>
                            <a:fillRect/>
                          </a:stretch>
                        </pic:blipFill>
                        <pic:spPr>
                          <a:xfrm>
                            <a:off x="0" y="0"/>
                            <a:ext cx="2012315" cy="91440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适用于安装在正压送风井关键设备区域门牌</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拉丝古铜色色板雕刻</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130*300mm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10</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指引类标识标牌</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楼层索引牌——管理处</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716915</wp:posOffset>
                  </wp:positionH>
                  <wp:positionV relativeFrom="paragraph">
                    <wp:posOffset>152400</wp:posOffset>
                  </wp:positionV>
                  <wp:extent cx="508635" cy="1120775"/>
                  <wp:effectExtent l="0" t="0" r="5715" b="3175"/>
                  <wp:wrapNone/>
                  <wp:docPr id="355" name="图片_83"/>
                  <wp:cNvGraphicFramePr/>
                  <a:graphic xmlns:a="http://schemas.openxmlformats.org/drawingml/2006/main">
                    <a:graphicData uri="http://schemas.openxmlformats.org/drawingml/2006/picture">
                      <pic:pic xmlns:pic="http://schemas.openxmlformats.org/drawingml/2006/picture">
                        <pic:nvPicPr>
                          <pic:cNvPr id="355" name="图片_83"/>
                          <pic:cNvPicPr/>
                        </pic:nvPicPr>
                        <pic:blipFill>
                          <a:blip r:embed="rId14"/>
                          <a:stretch>
                            <a:fillRect/>
                          </a:stretch>
                        </pic:blipFill>
                        <pic:spPr>
                          <a:xfrm>
                            <a:off x="0" y="0"/>
                            <a:ext cx="508635" cy="112077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管理处机关单位办公楼一层大厅。</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古铜色哑光颗粒感不锈钢，亚克力</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1600*600mm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11</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各楼层详细信息索引牌管理处</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（小）</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706755</wp:posOffset>
                  </wp:positionH>
                  <wp:positionV relativeFrom="paragraph">
                    <wp:posOffset>52705</wp:posOffset>
                  </wp:positionV>
                  <wp:extent cx="415290" cy="1241425"/>
                  <wp:effectExtent l="0" t="0" r="3810" b="15875"/>
                  <wp:wrapNone/>
                  <wp:docPr id="347" name="图片_85"/>
                  <wp:cNvGraphicFramePr/>
                  <a:graphic xmlns:a="http://schemas.openxmlformats.org/drawingml/2006/main">
                    <a:graphicData uri="http://schemas.openxmlformats.org/drawingml/2006/picture">
                      <pic:pic xmlns:pic="http://schemas.openxmlformats.org/drawingml/2006/picture">
                        <pic:nvPicPr>
                          <pic:cNvPr id="347" name="图片_85"/>
                          <pic:cNvPicPr/>
                        </pic:nvPicPr>
                        <pic:blipFill>
                          <a:blip r:embed="rId15"/>
                          <a:stretch>
                            <a:fillRect/>
                          </a:stretch>
                        </pic:blipFill>
                        <pic:spPr>
                          <a:xfrm>
                            <a:off x="0" y="0"/>
                            <a:ext cx="415290" cy="124142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管理单位各楼层电梯对侧墙上。1 楼详细信 息索引牌安装在大厅前室通道墙面上。</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不锈钢焊接板，表面烤指定古铜色哑光漆；文字 乳白色亚克力正喷 UV+ 丝印</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1260*600mm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12</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各楼层详细信息索引牌管理处</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（大）</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647700</wp:posOffset>
                  </wp:positionH>
                  <wp:positionV relativeFrom="paragraph">
                    <wp:posOffset>131445</wp:posOffset>
                  </wp:positionV>
                  <wp:extent cx="624205" cy="1130935"/>
                  <wp:effectExtent l="0" t="0" r="4445" b="12065"/>
                  <wp:wrapNone/>
                  <wp:docPr id="358" name="图片_84"/>
                  <wp:cNvGraphicFramePr/>
                  <a:graphic xmlns:a="http://schemas.openxmlformats.org/drawingml/2006/main">
                    <a:graphicData uri="http://schemas.openxmlformats.org/drawingml/2006/picture">
                      <pic:pic xmlns:pic="http://schemas.openxmlformats.org/drawingml/2006/picture">
                        <pic:nvPicPr>
                          <pic:cNvPr id="358" name="图片_84"/>
                          <pic:cNvPicPr/>
                        </pic:nvPicPr>
                        <pic:blipFill>
                          <a:blip r:embed="rId16"/>
                          <a:stretch>
                            <a:fillRect/>
                          </a:stretch>
                        </pic:blipFill>
                        <pic:spPr>
                          <a:xfrm>
                            <a:off x="0" y="0"/>
                            <a:ext cx="624205" cy="113093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管理单位各楼层电梯对侧墙上。1楼详细信 息索引牌安装在大厅前室通道墙面上。</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不锈钢焊接板，表面烤指定古铜色哑光漆；文字 乳白色亚克力正喷 UV+ 丝印</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2050*600mm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13</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办公室门牌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139065</wp:posOffset>
                  </wp:positionH>
                  <wp:positionV relativeFrom="paragraph">
                    <wp:posOffset>289560</wp:posOffset>
                  </wp:positionV>
                  <wp:extent cx="1839595" cy="736600"/>
                  <wp:effectExtent l="0" t="0" r="8255" b="6350"/>
                  <wp:wrapNone/>
                  <wp:docPr id="362" name="图片_64"/>
                  <wp:cNvGraphicFramePr/>
                  <a:graphic xmlns:a="http://schemas.openxmlformats.org/drawingml/2006/main">
                    <a:graphicData uri="http://schemas.openxmlformats.org/drawingml/2006/picture">
                      <pic:pic xmlns:pic="http://schemas.openxmlformats.org/drawingml/2006/picture">
                        <pic:nvPicPr>
                          <pic:cNvPr id="362" name="图片_64"/>
                          <pic:cNvPicPr/>
                        </pic:nvPicPr>
                        <pic:blipFill>
                          <a:blip r:embed="rId17"/>
                          <a:stretch>
                            <a:fillRect/>
                          </a:stretch>
                        </pic:blipFill>
                        <pic:spPr>
                          <a:xfrm>
                            <a:off x="0" y="0"/>
                            <a:ext cx="1839595" cy="73660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管理单位各办公室门框中间处。</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透明亚克力烤指定古铜色 / 蓝色哑光漆， 文字 UV+ 磁吸</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120*310mm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14</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警示类标识标牌</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重大危险源安全风险公告栏</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381635</wp:posOffset>
                  </wp:positionH>
                  <wp:positionV relativeFrom="paragraph">
                    <wp:posOffset>74295</wp:posOffset>
                  </wp:positionV>
                  <wp:extent cx="1264285" cy="929640"/>
                  <wp:effectExtent l="0" t="0" r="12065" b="3810"/>
                  <wp:wrapNone/>
                  <wp:docPr id="363" name="图片_72"/>
                  <wp:cNvGraphicFramePr/>
                  <a:graphic xmlns:a="http://schemas.openxmlformats.org/drawingml/2006/main">
                    <a:graphicData uri="http://schemas.openxmlformats.org/drawingml/2006/picture">
                      <pic:pic xmlns:pic="http://schemas.openxmlformats.org/drawingml/2006/picture">
                        <pic:nvPicPr>
                          <pic:cNvPr id="363" name="图片_72"/>
                          <pic:cNvPicPr/>
                        </pic:nvPicPr>
                        <pic:blipFill>
                          <a:blip r:embed="rId18"/>
                          <a:stretch>
                            <a:fillRect/>
                          </a:stretch>
                        </pic:blipFill>
                        <pic:spPr>
                          <a:xfrm>
                            <a:off x="0" y="0"/>
                            <a:ext cx="1264285" cy="92964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大型水闸、泵站和应急发电机等机械设备表 面或管理区域醒目位置</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5MM 亚克力背喷，铝合金型材 +PVC 胶片 UV 打印</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550*700mm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15</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消防器材规范标识牌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电梯</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636905</wp:posOffset>
                  </wp:positionH>
                  <wp:positionV relativeFrom="paragraph">
                    <wp:posOffset>8890</wp:posOffset>
                  </wp:positionV>
                  <wp:extent cx="707390" cy="1037590"/>
                  <wp:effectExtent l="0" t="0" r="16510" b="10160"/>
                  <wp:wrapNone/>
                  <wp:docPr id="348" name="图片_67"/>
                  <wp:cNvGraphicFramePr/>
                  <a:graphic xmlns:a="http://schemas.openxmlformats.org/drawingml/2006/main">
                    <a:graphicData uri="http://schemas.openxmlformats.org/drawingml/2006/picture">
                      <pic:pic xmlns:pic="http://schemas.openxmlformats.org/drawingml/2006/picture">
                        <pic:nvPicPr>
                          <pic:cNvPr id="348" name="图片_67"/>
                          <pic:cNvPicPr/>
                        </pic:nvPicPr>
                        <pic:blipFill>
                          <a:blip r:embed="rId19"/>
                          <a:stretch>
                            <a:fillRect/>
                          </a:stretch>
                        </pic:blipFill>
                        <pic:spPr>
                          <a:xfrm>
                            <a:off x="0" y="0"/>
                            <a:ext cx="707390" cy="103759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机关单位、基层单位和建筑物的电梯 内墙上</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5MM 亚克力背喷，亚克力插盒</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高300*宽450mm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16</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消防器材规范标识牌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安全通道</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74930</wp:posOffset>
                  </wp:positionV>
                  <wp:extent cx="1362075" cy="949325"/>
                  <wp:effectExtent l="0" t="0" r="9525" b="3175"/>
                  <wp:wrapNone/>
                  <wp:docPr id="349" name="图片_68"/>
                  <wp:cNvGraphicFramePr/>
                  <a:graphic xmlns:a="http://schemas.openxmlformats.org/drawingml/2006/main">
                    <a:graphicData uri="http://schemas.openxmlformats.org/drawingml/2006/picture">
                      <pic:pic xmlns:pic="http://schemas.openxmlformats.org/drawingml/2006/picture">
                        <pic:nvPicPr>
                          <pic:cNvPr id="349" name="图片_68"/>
                          <pic:cNvPicPr/>
                        </pic:nvPicPr>
                        <pic:blipFill>
                          <a:blip r:embed="rId20"/>
                          <a:stretch>
                            <a:fillRect/>
                          </a:stretch>
                        </pic:blipFill>
                        <pic:spPr>
                          <a:xfrm>
                            <a:off x="0" y="0"/>
                            <a:ext cx="1362075" cy="94932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机关单位、基层单位和建筑物安全通 道的防火门上</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5MM 亚克力背喷，亚克力插盒</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高 380* 宽 550mm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17</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消防器材规范标识牌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微型消防站</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68580</wp:posOffset>
                  </wp:positionV>
                  <wp:extent cx="1318260" cy="953770"/>
                  <wp:effectExtent l="0" t="0" r="15240" b="17780"/>
                  <wp:wrapNone/>
                  <wp:docPr id="351" name="图片_66"/>
                  <wp:cNvGraphicFramePr/>
                  <a:graphic xmlns:a="http://schemas.openxmlformats.org/drawingml/2006/main">
                    <a:graphicData uri="http://schemas.openxmlformats.org/drawingml/2006/picture">
                      <pic:pic xmlns:pic="http://schemas.openxmlformats.org/drawingml/2006/picture">
                        <pic:nvPicPr>
                          <pic:cNvPr id="351" name="图片_66"/>
                          <pic:cNvPicPr/>
                        </pic:nvPicPr>
                        <pic:blipFill>
                          <a:blip r:embed="rId21"/>
                          <a:stretch>
                            <a:fillRect/>
                          </a:stretch>
                        </pic:blipFill>
                        <pic:spPr>
                          <a:xfrm>
                            <a:off x="0" y="0"/>
                            <a:ext cx="1318260" cy="95377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机关单位、基层单位和建筑物内微型 消防站柜门旁边的墙上。</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5MM 亚克力背喷，亚克力插盒，3M 车贴 +3M 地板膜</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高500mm*宽700mm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18</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消防器材规范标识牌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消火栓</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464185</wp:posOffset>
                  </wp:positionH>
                  <wp:positionV relativeFrom="paragraph">
                    <wp:posOffset>69215</wp:posOffset>
                  </wp:positionV>
                  <wp:extent cx="673735" cy="1038225"/>
                  <wp:effectExtent l="0" t="0" r="12065" b="9525"/>
                  <wp:wrapNone/>
                  <wp:docPr id="352" name="图片_69"/>
                  <wp:cNvGraphicFramePr/>
                  <a:graphic xmlns:a="http://schemas.openxmlformats.org/drawingml/2006/main">
                    <a:graphicData uri="http://schemas.openxmlformats.org/drawingml/2006/picture">
                      <pic:pic xmlns:pic="http://schemas.openxmlformats.org/drawingml/2006/picture">
                        <pic:nvPicPr>
                          <pic:cNvPr id="352" name="图片_69"/>
                          <pic:cNvPicPr/>
                        </pic:nvPicPr>
                        <pic:blipFill>
                          <a:blip r:embed="rId22"/>
                          <a:stretch>
                            <a:fillRect/>
                          </a:stretch>
                        </pic:blipFill>
                        <pic:spPr>
                          <a:xfrm>
                            <a:off x="0" y="0"/>
                            <a:ext cx="673735" cy="103822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机关单位、基层单位和建筑物消防器材安 置处。</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5MM 亚克力背喷，亚克力插盒</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高 680* 宽 450mm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19</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消防器材规范标识牌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灭火器</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451485</wp:posOffset>
                  </wp:positionH>
                  <wp:positionV relativeFrom="paragraph">
                    <wp:posOffset>85725</wp:posOffset>
                  </wp:positionV>
                  <wp:extent cx="760730" cy="920750"/>
                  <wp:effectExtent l="0" t="0" r="1270" b="12700"/>
                  <wp:wrapNone/>
                  <wp:docPr id="353" name="图片_70"/>
                  <wp:cNvGraphicFramePr/>
                  <a:graphic xmlns:a="http://schemas.openxmlformats.org/drawingml/2006/main">
                    <a:graphicData uri="http://schemas.openxmlformats.org/drawingml/2006/picture">
                      <pic:pic xmlns:pic="http://schemas.openxmlformats.org/drawingml/2006/picture">
                        <pic:nvPicPr>
                          <pic:cNvPr id="353" name="图片_70"/>
                          <pic:cNvPicPr/>
                        </pic:nvPicPr>
                        <pic:blipFill>
                          <a:blip r:embed="rId23"/>
                          <a:stretch>
                            <a:fillRect/>
                          </a:stretch>
                        </pic:blipFill>
                        <pic:spPr>
                          <a:xfrm>
                            <a:off x="0" y="0"/>
                            <a:ext cx="760730" cy="92075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机关单位、基层单位和建筑物消防器材安 置处。</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5MM 亚克力背喷，亚克力插盒</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高 550* 宽 450mm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20</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消防器材规范标识牌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警戒线</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361315</wp:posOffset>
                  </wp:positionH>
                  <wp:positionV relativeFrom="paragraph">
                    <wp:posOffset>164465</wp:posOffset>
                  </wp:positionV>
                  <wp:extent cx="1367155" cy="737235"/>
                  <wp:effectExtent l="0" t="0" r="4445" b="5715"/>
                  <wp:wrapNone/>
                  <wp:docPr id="366" name="图片_71"/>
                  <wp:cNvGraphicFramePr/>
                  <a:graphic xmlns:a="http://schemas.openxmlformats.org/drawingml/2006/main">
                    <a:graphicData uri="http://schemas.openxmlformats.org/drawingml/2006/picture">
                      <pic:pic xmlns:pic="http://schemas.openxmlformats.org/drawingml/2006/picture">
                        <pic:nvPicPr>
                          <pic:cNvPr id="366" name="图片_71"/>
                          <pic:cNvPicPr/>
                        </pic:nvPicPr>
                        <pic:blipFill>
                          <a:blip r:embed="rId24"/>
                          <a:stretch>
                            <a:fillRect/>
                          </a:stretch>
                        </pic:blipFill>
                        <pic:spPr>
                          <a:xfrm>
                            <a:off x="0" y="0"/>
                            <a:ext cx="1367155" cy="73723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机关单位、基层单位和建筑物消防器材安置处。</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3M车贴+3M地板膜</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警戒线宽80mm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21</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禁止堆放</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701675</wp:posOffset>
                  </wp:positionH>
                  <wp:positionV relativeFrom="paragraph">
                    <wp:posOffset>152400</wp:posOffset>
                  </wp:positionV>
                  <wp:extent cx="673100" cy="1104900"/>
                  <wp:effectExtent l="0" t="0" r="12700" b="0"/>
                  <wp:wrapNone/>
                  <wp:docPr id="364" name="图片_73"/>
                  <wp:cNvGraphicFramePr/>
                  <a:graphic xmlns:a="http://schemas.openxmlformats.org/drawingml/2006/main">
                    <a:graphicData uri="http://schemas.openxmlformats.org/drawingml/2006/picture">
                      <pic:pic xmlns:pic="http://schemas.openxmlformats.org/drawingml/2006/picture">
                        <pic:nvPicPr>
                          <pic:cNvPr id="364" name="图片_73"/>
                          <pic:cNvPicPr/>
                        </pic:nvPicPr>
                        <pic:blipFill>
                          <a:blip r:embed="rId25"/>
                          <a:stretch>
                            <a:fillRect/>
                          </a:stretch>
                        </pic:blipFill>
                        <pic:spPr>
                          <a:xfrm>
                            <a:off x="0" y="0"/>
                            <a:ext cx="673100" cy="110490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消防器材存放处、消防通道 及车间主通道等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22</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禁止攀登</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634365</wp:posOffset>
                  </wp:positionH>
                  <wp:positionV relativeFrom="paragraph">
                    <wp:posOffset>142240</wp:posOffset>
                  </wp:positionV>
                  <wp:extent cx="737870" cy="1094105"/>
                  <wp:effectExtent l="0" t="0" r="5080" b="10795"/>
                  <wp:wrapNone/>
                  <wp:docPr id="372" name="图片_74"/>
                  <wp:cNvGraphicFramePr/>
                  <a:graphic xmlns:a="http://schemas.openxmlformats.org/drawingml/2006/main">
                    <a:graphicData uri="http://schemas.openxmlformats.org/drawingml/2006/picture">
                      <pic:pic xmlns:pic="http://schemas.openxmlformats.org/drawingml/2006/picture">
                        <pic:nvPicPr>
                          <pic:cNvPr id="372" name="图片_74"/>
                          <pic:cNvPicPr/>
                        </pic:nvPicPr>
                        <pic:blipFill>
                          <a:blip r:embed="rId26"/>
                          <a:stretch>
                            <a:fillRect/>
                          </a:stretch>
                        </pic:blipFill>
                        <pic:spPr>
                          <a:xfrm>
                            <a:off x="0" y="0"/>
                            <a:ext cx="737870" cy="109410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不允许攀爬的危险地点，如 : 有坍塌危险的建筑物、构筑 物、设备旁作业现场的沟、坎、 坑等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23</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禁止入内</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534035</wp:posOffset>
                  </wp:positionH>
                  <wp:positionV relativeFrom="paragraph">
                    <wp:posOffset>73660</wp:posOffset>
                  </wp:positionV>
                  <wp:extent cx="874395" cy="1204595"/>
                  <wp:effectExtent l="0" t="0" r="1905" b="14605"/>
                  <wp:wrapNone/>
                  <wp:docPr id="367" name="图片_75"/>
                  <wp:cNvGraphicFramePr/>
                  <a:graphic xmlns:a="http://schemas.openxmlformats.org/drawingml/2006/main">
                    <a:graphicData uri="http://schemas.openxmlformats.org/drawingml/2006/picture">
                      <pic:pic xmlns:pic="http://schemas.openxmlformats.org/drawingml/2006/picture">
                        <pic:nvPicPr>
                          <pic:cNvPr id="367" name="图片_75"/>
                          <pic:cNvPicPr/>
                        </pic:nvPicPr>
                        <pic:blipFill>
                          <a:blip r:embed="rId27"/>
                          <a:stretch>
                            <a:fillRect/>
                          </a:stretch>
                        </pic:blipFill>
                        <pic:spPr>
                          <a:xfrm>
                            <a:off x="0" y="0"/>
                            <a:ext cx="874395" cy="120459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易造成事故或对人员有伤害 的场所 如 : 高压设备室、各 种污染源等人口处</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24</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禁止靠近</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560070</wp:posOffset>
                  </wp:positionH>
                  <wp:positionV relativeFrom="paragraph">
                    <wp:posOffset>115570</wp:posOffset>
                  </wp:positionV>
                  <wp:extent cx="807085" cy="1194435"/>
                  <wp:effectExtent l="0" t="0" r="12065" b="5715"/>
                  <wp:wrapNone/>
                  <wp:docPr id="371" name="图片_76"/>
                  <wp:cNvGraphicFramePr/>
                  <a:graphic xmlns:a="http://schemas.openxmlformats.org/drawingml/2006/main">
                    <a:graphicData uri="http://schemas.openxmlformats.org/drawingml/2006/picture">
                      <pic:pic xmlns:pic="http://schemas.openxmlformats.org/drawingml/2006/picture">
                        <pic:nvPicPr>
                          <pic:cNvPr id="371" name="图片_76"/>
                          <pic:cNvPicPr/>
                        </pic:nvPicPr>
                        <pic:blipFill>
                          <a:blip r:embed="rId28"/>
                          <a:stretch>
                            <a:fillRect/>
                          </a:stretch>
                        </pic:blipFill>
                        <pic:spPr>
                          <a:xfrm>
                            <a:off x="0" y="0"/>
                            <a:ext cx="807085" cy="119443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不允许靠近的危险区域，如 : 高压试验区、高压线、输变 电设备的附近</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25</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禁止翻阅</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546735</wp:posOffset>
                  </wp:positionH>
                  <wp:positionV relativeFrom="paragraph">
                    <wp:posOffset>115570</wp:posOffset>
                  </wp:positionV>
                  <wp:extent cx="838835" cy="1173480"/>
                  <wp:effectExtent l="0" t="0" r="18415" b="7620"/>
                  <wp:wrapNone/>
                  <wp:docPr id="377" name="图片_77"/>
                  <wp:cNvGraphicFramePr/>
                  <a:graphic xmlns:a="http://schemas.openxmlformats.org/drawingml/2006/main">
                    <a:graphicData uri="http://schemas.openxmlformats.org/drawingml/2006/picture">
                      <pic:pic xmlns:pic="http://schemas.openxmlformats.org/drawingml/2006/picture">
                        <pic:nvPicPr>
                          <pic:cNvPr id="377" name="图片_77"/>
                          <pic:cNvPicPr/>
                        </pic:nvPicPr>
                        <pic:blipFill>
                          <a:blip r:embed="rId29"/>
                          <a:stretch>
                            <a:fillRect/>
                          </a:stretch>
                        </pic:blipFill>
                        <pic:spPr>
                          <a:xfrm>
                            <a:off x="0" y="0"/>
                            <a:ext cx="838835" cy="117348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禁止翻越作业现场的沟、砍、 坑、围栏等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26</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禁止合闸</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546735</wp:posOffset>
                  </wp:positionH>
                  <wp:positionV relativeFrom="paragraph">
                    <wp:posOffset>89535</wp:posOffset>
                  </wp:positionV>
                  <wp:extent cx="812800" cy="1183640"/>
                  <wp:effectExtent l="0" t="0" r="6350" b="16510"/>
                  <wp:wrapNone/>
                  <wp:docPr id="386" name="图片_78"/>
                  <wp:cNvGraphicFramePr/>
                  <a:graphic xmlns:a="http://schemas.openxmlformats.org/drawingml/2006/main">
                    <a:graphicData uri="http://schemas.openxmlformats.org/drawingml/2006/picture">
                      <pic:pic xmlns:pic="http://schemas.openxmlformats.org/drawingml/2006/picture">
                        <pic:nvPicPr>
                          <pic:cNvPr id="386" name="图片_78"/>
                          <pic:cNvPicPr/>
                        </pic:nvPicPr>
                        <pic:blipFill>
                          <a:blip r:embed="rId30"/>
                          <a:stretch>
                            <a:fillRect/>
                          </a:stretch>
                        </pic:blipFill>
                        <pic:spPr>
                          <a:xfrm>
                            <a:off x="0" y="0"/>
                            <a:ext cx="812800" cy="118364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设备或线路检修时 , 相应开 关附近</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27</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禁止吸烟</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582930</wp:posOffset>
                  </wp:positionH>
                  <wp:positionV relativeFrom="paragraph">
                    <wp:posOffset>131445</wp:posOffset>
                  </wp:positionV>
                  <wp:extent cx="750570" cy="1136650"/>
                  <wp:effectExtent l="0" t="0" r="11430" b="6350"/>
                  <wp:wrapNone/>
                  <wp:docPr id="368" name="图片_79"/>
                  <wp:cNvGraphicFramePr/>
                  <a:graphic xmlns:a="http://schemas.openxmlformats.org/drawingml/2006/main">
                    <a:graphicData uri="http://schemas.openxmlformats.org/drawingml/2006/picture">
                      <pic:pic xmlns:pic="http://schemas.openxmlformats.org/drawingml/2006/picture">
                        <pic:nvPicPr>
                          <pic:cNvPr id="368" name="图片_79"/>
                          <pic:cNvPicPr/>
                        </pic:nvPicPr>
                        <pic:blipFill>
                          <a:blip r:embed="rId31"/>
                          <a:stretch>
                            <a:fillRect/>
                          </a:stretch>
                        </pic:blipFill>
                        <pic:spPr>
                          <a:xfrm>
                            <a:off x="0" y="0"/>
                            <a:ext cx="750570" cy="113665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有甲、乙、丙类火灾危险物 质的场所和禁止吸烟的公共 场所等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28</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禁止用水灭火</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572770</wp:posOffset>
                  </wp:positionH>
                  <wp:positionV relativeFrom="paragraph">
                    <wp:posOffset>760095</wp:posOffset>
                  </wp:positionV>
                  <wp:extent cx="721995" cy="1036320"/>
                  <wp:effectExtent l="0" t="0" r="1905" b="11430"/>
                  <wp:wrapNone/>
                  <wp:docPr id="369" name="图片_80"/>
                  <wp:cNvGraphicFramePr/>
                  <a:graphic xmlns:a="http://schemas.openxmlformats.org/drawingml/2006/main">
                    <a:graphicData uri="http://schemas.openxmlformats.org/drawingml/2006/picture">
                      <pic:pic xmlns:pic="http://schemas.openxmlformats.org/drawingml/2006/picture">
                        <pic:nvPicPr>
                          <pic:cNvPr id="369" name="图片_80"/>
                          <pic:cNvPicPr/>
                        </pic:nvPicPr>
                        <pic:blipFill>
                          <a:blip r:embed="rId32"/>
                          <a:stretch>
                            <a:fillRect/>
                          </a:stretch>
                        </pic:blipFill>
                        <pic:spPr>
                          <a:xfrm>
                            <a:off x="0" y="0"/>
                            <a:ext cx="721995" cy="103632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有甲类火灾危险物质及其他 禁止带火种的各种危险场所， 如 : 炼油厂、乙炔站、液化 石油气站、煤矿井内、林区、 草原等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29</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禁止垂钓</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534035</wp:posOffset>
                  </wp:positionH>
                  <wp:positionV relativeFrom="paragraph">
                    <wp:posOffset>99695</wp:posOffset>
                  </wp:positionV>
                  <wp:extent cx="825500" cy="1162685"/>
                  <wp:effectExtent l="0" t="0" r="12700" b="18415"/>
                  <wp:wrapNone/>
                  <wp:docPr id="379" name="图片_81"/>
                  <wp:cNvGraphicFramePr/>
                  <a:graphic xmlns:a="http://schemas.openxmlformats.org/drawingml/2006/main">
                    <a:graphicData uri="http://schemas.openxmlformats.org/drawingml/2006/picture">
                      <pic:pic xmlns:pic="http://schemas.openxmlformats.org/drawingml/2006/picture">
                        <pic:nvPicPr>
                          <pic:cNvPr id="379" name="图片_81"/>
                          <pic:cNvPicPr/>
                        </pic:nvPicPr>
                        <pic:blipFill>
                          <a:blip r:embed="rId33"/>
                          <a:stretch>
                            <a:fillRect/>
                          </a:stretch>
                        </pic:blipFill>
                        <pic:spPr>
                          <a:xfrm>
                            <a:off x="0" y="0"/>
                            <a:ext cx="825500" cy="116268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禁捕水域和禁钓范围里</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30</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警告类标牌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注意安全</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601345</wp:posOffset>
                  </wp:positionH>
                  <wp:positionV relativeFrom="paragraph">
                    <wp:posOffset>89535</wp:posOffset>
                  </wp:positionV>
                  <wp:extent cx="665480" cy="946785"/>
                  <wp:effectExtent l="0" t="0" r="1270" b="5715"/>
                  <wp:wrapNone/>
                  <wp:docPr id="373" name="图片_65"/>
                  <wp:cNvGraphicFramePr/>
                  <a:graphic xmlns:a="http://schemas.openxmlformats.org/drawingml/2006/main">
                    <a:graphicData uri="http://schemas.openxmlformats.org/drawingml/2006/picture">
                      <pic:pic xmlns:pic="http://schemas.openxmlformats.org/drawingml/2006/picture">
                        <pic:nvPicPr>
                          <pic:cNvPr id="373" name="图片_65"/>
                          <pic:cNvPicPr/>
                        </pic:nvPicPr>
                        <pic:blipFill>
                          <a:blip r:embed="rId34"/>
                          <a:stretch>
                            <a:fillRect/>
                          </a:stretch>
                        </pic:blipFill>
                        <pic:spPr>
                          <a:xfrm>
                            <a:off x="0" y="0"/>
                            <a:ext cx="665480" cy="94678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易造成人员伤害的场所及设备</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31</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警告类标牌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当心塌方</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534035</wp:posOffset>
                  </wp:positionH>
                  <wp:positionV relativeFrom="paragraph">
                    <wp:posOffset>152400</wp:posOffset>
                  </wp:positionV>
                  <wp:extent cx="735330" cy="1042035"/>
                  <wp:effectExtent l="0" t="0" r="7620" b="5715"/>
                  <wp:wrapNone/>
                  <wp:docPr id="380" name="图片_82"/>
                  <wp:cNvGraphicFramePr/>
                  <a:graphic xmlns:a="http://schemas.openxmlformats.org/drawingml/2006/main">
                    <a:graphicData uri="http://schemas.openxmlformats.org/drawingml/2006/picture">
                      <pic:pic xmlns:pic="http://schemas.openxmlformats.org/drawingml/2006/picture">
                        <pic:nvPicPr>
                          <pic:cNvPr id="380" name="图片_82"/>
                          <pic:cNvPicPr/>
                        </pic:nvPicPr>
                        <pic:blipFill>
                          <a:blip r:embed="rId35"/>
                          <a:stretch>
                            <a:fillRect/>
                          </a:stretch>
                        </pic:blipFill>
                        <pic:spPr>
                          <a:xfrm>
                            <a:off x="0" y="0"/>
                            <a:ext cx="735330" cy="104203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有塌方危险的地段、地区， 如：堤坝及土方作业的深坑、 深槽等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32</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警告类标牌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当心落水</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539115</wp:posOffset>
                  </wp:positionH>
                  <wp:positionV relativeFrom="paragraph">
                    <wp:posOffset>94615</wp:posOffset>
                  </wp:positionV>
                  <wp:extent cx="781685" cy="1047115"/>
                  <wp:effectExtent l="0" t="0" r="18415" b="635"/>
                  <wp:wrapNone/>
                  <wp:docPr id="370" name="图片_88"/>
                  <wp:cNvGraphicFramePr/>
                  <a:graphic xmlns:a="http://schemas.openxmlformats.org/drawingml/2006/main">
                    <a:graphicData uri="http://schemas.openxmlformats.org/drawingml/2006/picture">
                      <pic:pic xmlns:pic="http://schemas.openxmlformats.org/drawingml/2006/picture">
                        <pic:nvPicPr>
                          <pic:cNvPr id="370" name="图片_88"/>
                          <pic:cNvPicPr/>
                        </pic:nvPicPr>
                        <pic:blipFill>
                          <a:blip r:embed="rId36"/>
                          <a:stretch>
                            <a:fillRect/>
                          </a:stretch>
                        </pic:blipFill>
                        <pic:spPr>
                          <a:xfrm>
                            <a:off x="0" y="0"/>
                            <a:ext cx="781685" cy="104711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落水后可能产生淹溺的场所 或部位，如城市河流、消防水池等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33</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警告类标牌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当心触电</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554355</wp:posOffset>
                  </wp:positionH>
                  <wp:positionV relativeFrom="paragraph">
                    <wp:posOffset>177165</wp:posOffset>
                  </wp:positionV>
                  <wp:extent cx="751205" cy="1047115"/>
                  <wp:effectExtent l="0" t="0" r="10795" b="635"/>
                  <wp:wrapNone/>
                  <wp:docPr id="374" name="图片_89"/>
                  <wp:cNvGraphicFramePr/>
                  <a:graphic xmlns:a="http://schemas.openxmlformats.org/drawingml/2006/main">
                    <a:graphicData uri="http://schemas.openxmlformats.org/drawingml/2006/picture">
                      <pic:pic xmlns:pic="http://schemas.openxmlformats.org/drawingml/2006/picture">
                        <pic:nvPicPr>
                          <pic:cNvPr id="374" name="图片_89"/>
                          <pic:cNvPicPr/>
                        </pic:nvPicPr>
                        <pic:blipFill>
                          <a:blip r:embed="rId37"/>
                          <a:stretch>
                            <a:fillRect/>
                          </a:stretch>
                        </pic:blipFill>
                        <pic:spPr>
                          <a:xfrm>
                            <a:off x="0" y="0"/>
                            <a:ext cx="751205" cy="104711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有可能发生触电危险的电器 设备和线路，如 : 配电室、开关等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34</w:t>
            </w:r>
          </w:p>
        </w:tc>
        <w:tc>
          <w:tcPr>
            <w:tcW w:w="1052"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男女厕所标识标牌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286385</wp:posOffset>
                  </wp:positionH>
                  <wp:positionV relativeFrom="paragraph">
                    <wp:posOffset>229235</wp:posOffset>
                  </wp:positionV>
                  <wp:extent cx="1640840" cy="942975"/>
                  <wp:effectExtent l="0" t="0" r="16510" b="9525"/>
                  <wp:wrapNone/>
                  <wp:docPr id="376" name="图片_101"/>
                  <wp:cNvGraphicFramePr/>
                  <a:graphic xmlns:a="http://schemas.openxmlformats.org/drawingml/2006/main">
                    <a:graphicData uri="http://schemas.openxmlformats.org/drawingml/2006/picture">
                      <pic:pic xmlns:pic="http://schemas.openxmlformats.org/drawingml/2006/picture">
                        <pic:nvPicPr>
                          <pic:cNvPr id="376" name="图片_101"/>
                          <pic:cNvPicPr/>
                        </pic:nvPicPr>
                        <pic:blipFill>
                          <a:blip r:embed="rId38"/>
                          <a:stretch>
                            <a:fillRect/>
                          </a:stretch>
                        </pic:blipFill>
                        <pic:spPr>
                          <a:xfrm>
                            <a:off x="0" y="0"/>
                            <a:ext cx="1640840" cy="94297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亚克力烤漆</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100*200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35</w:t>
            </w:r>
          </w:p>
        </w:tc>
        <w:tc>
          <w:tcPr>
            <w:tcW w:w="1052"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厕所提示牌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330835</wp:posOffset>
                  </wp:positionH>
                  <wp:positionV relativeFrom="paragraph">
                    <wp:posOffset>99060</wp:posOffset>
                  </wp:positionV>
                  <wp:extent cx="1225550" cy="1209675"/>
                  <wp:effectExtent l="0" t="0" r="12700" b="9525"/>
                  <wp:wrapNone/>
                  <wp:docPr id="381" name="图片_103"/>
                  <wp:cNvGraphicFramePr/>
                  <a:graphic xmlns:a="http://schemas.openxmlformats.org/drawingml/2006/main">
                    <a:graphicData uri="http://schemas.openxmlformats.org/drawingml/2006/picture">
                      <pic:pic xmlns:pic="http://schemas.openxmlformats.org/drawingml/2006/picture">
                        <pic:nvPicPr>
                          <pic:cNvPr id="381" name="图片_103"/>
                          <pic:cNvPicPr/>
                        </pic:nvPicPr>
                        <pic:blipFill>
                          <a:blip r:embed="rId39"/>
                          <a:stretch>
                            <a:fillRect/>
                          </a:stretch>
                        </pic:blipFill>
                        <pic:spPr>
                          <a:xfrm>
                            <a:off x="0" y="0"/>
                            <a:ext cx="1225550" cy="120967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亚克力烤漆</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125*400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36</w:t>
            </w:r>
          </w:p>
        </w:tc>
        <w:tc>
          <w:tcPr>
            <w:tcW w:w="1052"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厕所提示牌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wp:posOffset>
                  </wp:positionH>
                  <wp:positionV relativeFrom="paragraph">
                    <wp:posOffset>105410</wp:posOffset>
                  </wp:positionV>
                  <wp:extent cx="1828800" cy="1120140"/>
                  <wp:effectExtent l="0" t="0" r="0" b="3810"/>
                  <wp:wrapNone/>
                  <wp:docPr id="375" name="图片_104"/>
                  <wp:cNvGraphicFramePr/>
                  <a:graphic xmlns:a="http://schemas.openxmlformats.org/drawingml/2006/main">
                    <a:graphicData uri="http://schemas.openxmlformats.org/drawingml/2006/picture">
                      <pic:pic xmlns:pic="http://schemas.openxmlformats.org/drawingml/2006/picture">
                        <pic:nvPicPr>
                          <pic:cNvPr id="375" name="图片_104"/>
                          <pic:cNvPicPr/>
                        </pic:nvPicPr>
                        <pic:blipFill>
                          <a:blip r:embed="rId40"/>
                          <a:stretch>
                            <a:fillRect/>
                          </a:stretch>
                        </pic:blipFill>
                        <pic:spPr>
                          <a:xfrm>
                            <a:off x="0" y="0"/>
                            <a:ext cx="1828800" cy="112014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亚克力烤漆</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185*400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37</w:t>
            </w:r>
          </w:p>
        </w:tc>
        <w:tc>
          <w:tcPr>
            <w:tcW w:w="1052"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厨房重地闲人免进</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258445</wp:posOffset>
                  </wp:positionV>
                  <wp:extent cx="1741805" cy="599440"/>
                  <wp:effectExtent l="0" t="0" r="10795" b="10160"/>
                  <wp:wrapNone/>
                  <wp:docPr id="382" name="图片_102"/>
                  <wp:cNvGraphicFramePr/>
                  <a:graphic xmlns:a="http://schemas.openxmlformats.org/drawingml/2006/main">
                    <a:graphicData uri="http://schemas.openxmlformats.org/drawingml/2006/picture">
                      <pic:pic xmlns:pic="http://schemas.openxmlformats.org/drawingml/2006/picture">
                        <pic:nvPicPr>
                          <pic:cNvPr id="382" name="图片_102"/>
                          <pic:cNvPicPr/>
                        </pic:nvPicPr>
                        <pic:blipFill>
                          <a:blip r:embed="rId41"/>
                          <a:stretch>
                            <a:fillRect/>
                          </a:stretch>
                        </pic:blipFill>
                        <pic:spPr>
                          <a:xfrm>
                            <a:off x="0" y="0"/>
                            <a:ext cx="1741805" cy="59944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亚克力烤漆</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125*400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38</w:t>
            </w:r>
          </w:p>
        </w:tc>
        <w:tc>
          <w:tcPr>
            <w:tcW w:w="1052"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配电室</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163195</wp:posOffset>
                  </wp:positionV>
                  <wp:extent cx="1650365" cy="939165"/>
                  <wp:effectExtent l="0" t="0" r="6985" b="13335"/>
                  <wp:wrapNone/>
                  <wp:docPr id="378" name="图片_98"/>
                  <wp:cNvGraphicFramePr/>
                  <a:graphic xmlns:a="http://schemas.openxmlformats.org/drawingml/2006/main">
                    <a:graphicData uri="http://schemas.openxmlformats.org/drawingml/2006/picture">
                      <pic:pic xmlns:pic="http://schemas.openxmlformats.org/drawingml/2006/picture">
                        <pic:nvPicPr>
                          <pic:cNvPr id="378" name="图片_98"/>
                          <pic:cNvPicPr/>
                        </pic:nvPicPr>
                        <pic:blipFill>
                          <a:blip r:embed="rId42"/>
                          <a:stretch>
                            <a:fillRect/>
                          </a:stretch>
                        </pic:blipFill>
                        <pic:spPr>
                          <a:xfrm>
                            <a:off x="0" y="0"/>
                            <a:ext cx="1650365" cy="93916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亚克力烤漆</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130*300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39</w:t>
            </w:r>
          </w:p>
        </w:tc>
        <w:tc>
          <w:tcPr>
            <w:tcW w:w="1052"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水泵房</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141605</wp:posOffset>
                  </wp:positionH>
                  <wp:positionV relativeFrom="paragraph">
                    <wp:posOffset>179070</wp:posOffset>
                  </wp:positionV>
                  <wp:extent cx="1567180" cy="942975"/>
                  <wp:effectExtent l="0" t="0" r="13970" b="9525"/>
                  <wp:wrapNone/>
                  <wp:docPr id="383" name="图片_99"/>
                  <wp:cNvGraphicFramePr/>
                  <a:graphic xmlns:a="http://schemas.openxmlformats.org/drawingml/2006/main">
                    <a:graphicData uri="http://schemas.openxmlformats.org/drawingml/2006/picture">
                      <pic:pic xmlns:pic="http://schemas.openxmlformats.org/drawingml/2006/picture">
                        <pic:nvPicPr>
                          <pic:cNvPr id="383" name="图片_99"/>
                          <pic:cNvPicPr/>
                        </pic:nvPicPr>
                        <pic:blipFill>
                          <a:blip r:embed="rId43"/>
                          <a:stretch>
                            <a:fillRect/>
                          </a:stretch>
                        </pic:blipFill>
                        <pic:spPr>
                          <a:xfrm>
                            <a:off x="0" y="0"/>
                            <a:ext cx="1567180" cy="94297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亚克力烤漆</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130*300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40</w:t>
            </w:r>
          </w:p>
        </w:tc>
        <w:tc>
          <w:tcPr>
            <w:tcW w:w="1052"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配电房</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327660</wp:posOffset>
                  </wp:positionV>
                  <wp:extent cx="1781175" cy="860425"/>
                  <wp:effectExtent l="0" t="0" r="9525" b="15875"/>
                  <wp:wrapNone/>
                  <wp:docPr id="384" name="图片_100"/>
                  <wp:cNvGraphicFramePr/>
                  <a:graphic xmlns:a="http://schemas.openxmlformats.org/drawingml/2006/main">
                    <a:graphicData uri="http://schemas.openxmlformats.org/drawingml/2006/picture">
                      <pic:pic xmlns:pic="http://schemas.openxmlformats.org/drawingml/2006/picture">
                        <pic:nvPicPr>
                          <pic:cNvPr id="384" name="图片_100"/>
                          <pic:cNvPicPr/>
                        </pic:nvPicPr>
                        <pic:blipFill>
                          <a:blip r:embed="rId44"/>
                          <a:stretch>
                            <a:fillRect/>
                          </a:stretch>
                        </pic:blipFill>
                        <pic:spPr>
                          <a:xfrm>
                            <a:off x="0" y="0"/>
                            <a:ext cx="1781175" cy="86042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亚克力烤漆</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130*300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41</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待补充标识标牌</w:t>
            </w:r>
          </w:p>
        </w:tc>
        <w:tc>
          <w:tcPr>
            <w:tcW w:w="2831"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办公区域文化宣传标牌，包括楼道、走廊、机关大院等图文并茂宣传画，需明确工艺、标准尺寸、悬挂标准位置等</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732155</wp:posOffset>
                  </wp:positionV>
                  <wp:extent cx="1779270" cy="1160780"/>
                  <wp:effectExtent l="0" t="0" r="11430" b="1270"/>
                  <wp:wrapNone/>
                  <wp:docPr id="385" name="图片_105"/>
                  <wp:cNvGraphicFramePr/>
                  <a:graphic xmlns:a="http://schemas.openxmlformats.org/drawingml/2006/main">
                    <a:graphicData uri="http://schemas.openxmlformats.org/drawingml/2006/picture">
                      <pic:pic xmlns:pic="http://schemas.openxmlformats.org/drawingml/2006/picture">
                        <pic:nvPicPr>
                          <pic:cNvPr id="385" name="图片_105"/>
                          <pic:cNvPicPr/>
                        </pic:nvPicPr>
                        <pic:blipFill>
                          <a:blip r:embed="rId45"/>
                          <a:stretch>
                            <a:fillRect/>
                          </a:stretch>
                        </pic:blipFill>
                        <pic:spPr>
                          <a:xfrm>
                            <a:off x="0" y="0"/>
                            <a:ext cx="1779270" cy="116078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32"/>
                <w:szCs w:val="32"/>
                <w:u w:val="none"/>
              </w:rPr>
            </w:pPr>
            <w:r>
              <w:rPr>
                <w:rFonts w:hint="eastAsia" w:ascii="宋体" w:hAnsi="宋体" w:eastAsia="宋体" w:cs="宋体"/>
                <w:i w:val="0"/>
                <w:iCs w:val="0"/>
                <w:color w:val="FF0000"/>
                <w:kern w:val="0"/>
                <w:sz w:val="32"/>
                <w:szCs w:val="32"/>
                <w:u w:val="none"/>
                <w:lang w:val="en-US" w:eastAsia="zh-CN" w:bidi="ar"/>
              </w:rPr>
              <w:t>表面为有机玻璃，抓钉固定四角，框内内容可更替。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FF0000"/>
                <w:sz w:val="32"/>
                <w:szCs w:val="32"/>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32"/>
                <w:szCs w:val="32"/>
                <w:u w:val="none"/>
              </w:rPr>
            </w:pPr>
            <w:r>
              <w:rPr>
                <w:rFonts w:hint="eastAsia" w:ascii="宋体" w:hAnsi="宋体" w:eastAsia="宋体" w:cs="宋体"/>
                <w:i w:val="0"/>
                <w:iCs w:val="0"/>
                <w:color w:val="FF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42</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办公楼特殊宣传标牌：如国家水情教育基地、文明单位等标牌，需明确悬挂标准位置</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340360</wp:posOffset>
                  </wp:positionH>
                  <wp:positionV relativeFrom="paragraph">
                    <wp:posOffset>270510</wp:posOffset>
                  </wp:positionV>
                  <wp:extent cx="949325" cy="1299845"/>
                  <wp:effectExtent l="0" t="0" r="3175" b="14605"/>
                  <wp:wrapNone/>
                  <wp:docPr id="387" name="图片_106"/>
                  <wp:cNvGraphicFramePr/>
                  <a:graphic xmlns:a="http://schemas.openxmlformats.org/drawingml/2006/main">
                    <a:graphicData uri="http://schemas.openxmlformats.org/drawingml/2006/picture">
                      <pic:pic xmlns:pic="http://schemas.openxmlformats.org/drawingml/2006/picture">
                        <pic:nvPicPr>
                          <pic:cNvPr id="387" name="图片_106"/>
                          <pic:cNvPicPr/>
                        </pic:nvPicPr>
                        <pic:blipFill>
                          <a:blip r:embed="rId46"/>
                          <a:stretch>
                            <a:fillRect/>
                          </a:stretch>
                        </pic:blipFill>
                        <pic:spPr>
                          <a:xfrm>
                            <a:off x="0" y="0"/>
                            <a:ext cx="949325" cy="129984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304 不锈钢造型烤漆</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600*360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8" w:hRule="atLeast"/>
          <w:jc w:val="center"/>
        </w:trPr>
        <w:tc>
          <w:tcPr>
            <w:tcW w:w="2073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52"/>
                <w:szCs w:val="52"/>
                <w:u w:val="none"/>
              </w:rPr>
            </w:pPr>
            <w:r>
              <w:rPr>
                <w:rFonts w:hint="eastAsia" w:ascii="宋体" w:hAnsi="宋体" w:eastAsia="宋体" w:cs="宋体"/>
                <w:b/>
                <w:bCs/>
                <w:i w:val="0"/>
                <w:iCs w:val="0"/>
                <w:color w:val="000000"/>
                <w:kern w:val="0"/>
                <w:sz w:val="52"/>
                <w:szCs w:val="52"/>
                <w:u w:val="none"/>
                <w:lang w:val="en-US" w:eastAsia="zh-CN" w:bidi="ar"/>
              </w:rPr>
              <w:t>工程区域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43</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公告类标识标牌</w:t>
            </w:r>
          </w:p>
        </w:tc>
        <w:tc>
          <w:tcPr>
            <w:tcW w:w="2831"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公告栏</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179705</wp:posOffset>
                  </wp:positionH>
                  <wp:positionV relativeFrom="paragraph">
                    <wp:posOffset>188595</wp:posOffset>
                  </wp:positionV>
                  <wp:extent cx="1564640" cy="995045"/>
                  <wp:effectExtent l="0" t="0" r="16510" b="14605"/>
                  <wp:wrapNone/>
                  <wp:docPr id="365" name="图片_15"/>
                  <wp:cNvGraphicFramePr/>
                  <a:graphic xmlns:a="http://schemas.openxmlformats.org/drawingml/2006/main">
                    <a:graphicData uri="http://schemas.openxmlformats.org/drawingml/2006/picture">
                      <pic:pic xmlns:pic="http://schemas.openxmlformats.org/drawingml/2006/picture">
                        <pic:nvPicPr>
                          <pic:cNvPr id="365" name="图片_15"/>
                          <pic:cNvPicPr/>
                        </pic:nvPicPr>
                        <pic:blipFill>
                          <a:blip r:embed="rId47"/>
                          <a:stretch>
                            <a:fillRect/>
                          </a:stretch>
                        </pic:blipFill>
                        <pic:spPr>
                          <a:xfrm>
                            <a:off x="0" y="0"/>
                            <a:ext cx="1564640" cy="99504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机关单位、基层站所庭院。</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不锈钢 / 镀锌板 + 高温静电喷塑</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高2400* 宽 2900mm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44</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工程简介牌-大型水利枢纽</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199390</wp:posOffset>
                  </wp:positionH>
                  <wp:positionV relativeFrom="paragraph">
                    <wp:posOffset>268605</wp:posOffset>
                  </wp:positionV>
                  <wp:extent cx="1575435" cy="1355090"/>
                  <wp:effectExtent l="0" t="0" r="5715" b="16510"/>
                  <wp:wrapNone/>
                  <wp:docPr id="409" name="图片_14"/>
                  <wp:cNvGraphicFramePr/>
                  <a:graphic xmlns:a="http://schemas.openxmlformats.org/drawingml/2006/main">
                    <a:graphicData uri="http://schemas.openxmlformats.org/drawingml/2006/picture">
                      <pic:pic xmlns:pic="http://schemas.openxmlformats.org/drawingml/2006/picture">
                        <pic:nvPicPr>
                          <pic:cNvPr id="409" name="图片_14"/>
                          <pic:cNvPicPr/>
                        </pic:nvPicPr>
                        <pic:blipFill>
                          <a:blip r:embed="rId48"/>
                          <a:stretch>
                            <a:fillRect/>
                          </a:stretch>
                        </pic:blipFill>
                        <pic:spPr>
                          <a:xfrm>
                            <a:off x="0" y="0"/>
                            <a:ext cx="1575435" cy="135509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灌区主要引水枢纽或水闸工程 设计流量超过 200m³/s</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304 不锈钢造型，仿花岗石烤漆， 亚克力夹板，不锈钢托钉固定安装</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标牌尺寸:950mm*1450mm</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底座规格：</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长1200mm*宽500mmx*高480mm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45</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管理站名称牌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194945</wp:posOffset>
                  </wp:positionH>
                  <wp:positionV relativeFrom="paragraph">
                    <wp:posOffset>41910</wp:posOffset>
                  </wp:positionV>
                  <wp:extent cx="1478280" cy="1242060"/>
                  <wp:effectExtent l="0" t="0" r="7620" b="15240"/>
                  <wp:wrapNone/>
                  <wp:docPr id="398" name="图片_108"/>
                  <wp:cNvGraphicFramePr/>
                  <a:graphic xmlns:a="http://schemas.openxmlformats.org/drawingml/2006/main">
                    <a:graphicData uri="http://schemas.openxmlformats.org/drawingml/2006/picture">
                      <pic:pic xmlns:pic="http://schemas.openxmlformats.org/drawingml/2006/picture">
                        <pic:nvPicPr>
                          <pic:cNvPr id="398" name="图片_108"/>
                          <pic:cNvPicPr/>
                        </pic:nvPicPr>
                        <pic:blipFill>
                          <a:blip r:embed="rId49"/>
                          <a:stretch>
                            <a:fillRect/>
                          </a:stretch>
                        </pic:blipFill>
                        <pic:spPr>
                          <a:xfrm>
                            <a:off x="0" y="0"/>
                            <a:ext cx="1478280" cy="124206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站所大门口</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304 不锈钢造型烤漆</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1400*600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46</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管理点名称牌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232410</wp:posOffset>
                  </wp:positionH>
                  <wp:positionV relativeFrom="paragraph">
                    <wp:posOffset>142240</wp:posOffset>
                  </wp:positionV>
                  <wp:extent cx="1568450" cy="1041400"/>
                  <wp:effectExtent l="0" t="0" r="12700" b="6350"/>
                  <wp:wrapNone/>
                  <wp:docPr id="396" name="图片_109"/>
                  <wp:cNvGraphicFramePr/>
                  <a:graphic xmlns:a="http://schemas.openxmlformats.org/drawingml/2006/main">
                    <a:graphicData uri="http://schemas.openxmlformats.org/drawingml/2006/picture">
                      <pic:pic xmlns:pic="http://schemas.openxmlformats.org/drawingml/2006/picture">
                        <pic:nvPicPr>
                          <pic:cNvPr id="396" name="图片_109"/>
                          <pic:cNvPicPr/>
                        </pic:nvPicPr>
                        <pic:blipFill>
                          <a:blip r:embed="rId50"/>
                          <a:stretch>
                            <a:fillRect/>
                          </a:stretch>
                        </pic:blipFill>
                        <pic:spPr>
                          <a:xfrm>
                            <a:off x="0" y="0"/>
                            <a:ext cx="1568450" cy="104140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管理点大门口</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大理石</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670*1000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47</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大/中型建筑物名称牌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432435</wp:posOffset>
                  </wp:positionV>
                  <wp:extent cx="1845310" cy="703580"/>
                  <wp:effectExtent l="0" t="0" r="2540" b="1270"/>
                  <wp:wrapNone/>
                  <wp:docPr id="394" name="图片_110"/>
                  <wp:cNvGraphicFramePr/>
                  <a:graphic xmlns:a="http://schemas.openxmlformats.org/drawingml/2006/main">
                    <a:graphicData uri="http://schemas.openxmlformats.org/drawingml/2006/picture">
                      <pic:pic xmlns:pic="http://schemas.openxmlformats.org/drawingml/2006/picture">
                        <pic:nvPicPr>
                          <pic:cNvPr id="394" name="图片_110"/>
                          <pic:cNvPicPr/>
                        </pic:nvPicPr>
                        <pic:blipFill>
                          <a:blip r:embed="rId51"/>
                          <a:stretch>
                            <a:fillRect/>
                          </a:stretch>
                        </pic:blipFill>
                        <pic:spPr>
                          <a:xfrm>
                            <a:off x="0" y="0"/>
                            <a:ext cx="1845310" cy="70358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大/中型建筑物房顶</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304 不锈钢造型烤漆</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根据现场实际情况</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48</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小型建筑物名称牌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206375</wp:posOffset>
                  </wp:positionH>
                  <wp:positionV relativeFrom="paragraph">
                    <wp:posOffset>89535</wp:posOffset>
                  </wp:positionV>
                  <wp:extent cx="1702435" cy="1146810"/>
                  <wp:effectExtent l="0" t="0" r="12065" b="15240"/>
                  <wp:wrapNone/>
                  <wp:docPr id="392" name="图片_111"/>
                  <wp:cNvGraphicFramePr/>
                  <a:graphic xmlns:a="http://schemas.openxmlformats.org/drawingml/2006/main">
                    <a:graphicData uri="http://schemas.openxmlformats.org/drawingml/2006/picture">
                      <pic:pic xmlns:pic="http://schemas.openxmlformats.org/drawingml/2006/picture">
                        <pic:nvPicPr>
                          <pic:cNvPr id="392" name="图片_111"/>
                          <pic:cNvPicPr/>
                        </pic:nvPicPr>
                        <pic:blipFill>
                          <a:blip r:embed="rId52"/>
                          <a:stretch>
                            <a:fillRect/>
                          </a:stretch>
                        </pic:blipFill>
                        <pic:spPr>
                          <a:xfrm>
                            <a:off x="0" y="0"/>
                            <a:ext cx="1702435" cy="114681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小型建筑物墙面</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大理石</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470*700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49</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工程简介牌-中型骨干工程</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146685</wp:posOffset>
                  </wp:positionV>
                  <wp:extent cx="1238250" cy="1381760"/>
                  <wp:effectExtent l="0" t="0" r="0" b="8890"/>
                  <wp:wrapNone/>
                  <wp:docPr id="407" name="图片_1"/>
                  <wp:cNvGraphicFramePr/>
                  <a:graphic xmlns:a="http://schemas.openxmlformats.org/drawingml/2006/main">
                    <a:graphicData uri="http://schemas.openxmlformats.org/drawingml/2006/picture">
                      <pic:pic xmlns:pic="http://schemas.openxmlformats.org/drawingml/2006/picture">
                        <pic:nvPicPr>
                          <pic:cNvPr id="407" name="图片_1"/>
                          <pic:cNvPicPr/>
                        </pic:nvPicPr>
                        <pic:blipFill>
                          <a:blip r:embed="rId53"/>
                          <a:stretch>
                            <a:fillRect/>
                          </a:stretch>
                        </pic:blipFill>
                        <pic:spPr>
                          <a:xfrm>
                            <a:off x="0" y="0"/>
                            <a:ext cx="1238250" cy="138176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灌区主要引水枢纽或水闸工程设计流 量介于 20-200m³/s</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2mm 铝板 + 工程膜 + 镀锌圆管固定</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标牌尺寸:2350mm*1500mm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50</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工程简介牌-普通骨干工程</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380365</wp:posOffset>
                  </wp:positionH>
                  <wp:positionV relativeFrom="paragraph">
                    <wp:posOffset>342900</wp:posOffset>
                  </wp:positionV>
                  <wp:extent cx="1240790" cy="1419225"/>
                  <wp:effectExtent l="0" t="0" r="16510" b="9525"/>
                  <wp:wrapNone/>
                  <wp:docPr id="399" name="图片_2"/>
                  <wp:cNvGraphicFramePr/>
                  <a:graphic xmlns:a="http://schemas.openxmlformats.org/drawingml/2006/main">
                    <a:graphicData uri="http://schemas.openxmlformats.org/drawingml/2006/picture">
                      <pic:pic xmlns:pic="http://schemas.openxmlformats.org/drawingml/2006/picture">
                        <pic:nvPicPr>
                          <pic:cNvPr id="399" name="图片_2"/>
                          <pic:cNvPicPr/>
                        </pic:nvPicPr>
                        <pic:blipFill>
                          <a:blip r:embed="rId54"/>
                          <a:stretch>
                            <a:fillRect/>
                          </a:stretch>
                        </pic:blipFill>
                        <pic:spPr>
                          <a:xfrm>
                            <a:off x="0" y="0"/>
                            <a:ext cx="1240790" cy="141922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放置于渠系建筑物管理房的周边醒 目位置和人员密集区域，适用于设计流量介于 5 至 20m³/s 的工程</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2mm 铝板 + 工程膜 + 镀锌圆管固定</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标牌尺寸:1000*1488mm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51</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法律法规和水文化宣传牌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776605</wp:posOffset>
                  </wp:positionH>
                  <wp:positionV relativeFrom="paragraph">
                    <wp:posOffset>57150</wp:posOffset>
                  </wp:positionV>
                  <wp:extent cx="575310" cy="990600"/>
                  <wp:effectExtent l="0" t="0" r="15240" b="0"/>
                  <wp:wrapNone/>
                  <wp:docPr id="417" name="图片_30"/>
                  <wp:cNvGraphicFramePr/>
                  <a:graphic xmlns:a="http://schemas.openxmlformats.org/drawingml/2006/main">
                    <a:graphicData uri="http://schemas.openxmlformats.org/drawingml/2006/picture">
                      <pic:pic xmlns:pic="http://schemas.openxmlformats.org/drawingml/2006/picture">
                        <pic:nvPicPr>
                          <pic:cNvPr id="417" name="图片_30"/>
                          <pic:cNvPicPr/>
                        </pic:nvPicPr>
                        <pic:blipFill>
                          <a:blip r:embed="rId55"/>
                          <a:stretch>
                            <a:fillRect/>
                          </a:stretch>
                        </pic:blipFill>
                        <pic:spPr>
                          <a:xfrm>
                            <a:off x="0" y="0"/>
                            <a:ext cx="575310" cy="99060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安装在管理房外或者渠道一侧人员 流动较大的位置。</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2mm 铝板 + 工程膜 + 镀锌圆管固定</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标牌尺寸:1000*1870mm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52</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 xml:space="preserve">管理（保护）范围公示牌 </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686435</wp:posOffset>
                  </wp:positionH>
                  <wp:positionV relativeFrom="paragraph">
                    <wp:posOffset>72390</wp:posOffset>
                  </wp:positionV>
                  <wp:extent cx="572770" cy="902970"/>
                  <wp:effectExtent l="0" t="0" r="17780" b="11430"/>
                  <wp:wrapNone/>
                  <wp:docPr id="390" name="图片_3"/>
                  <wp:cNvGraphicFramePr/>
                  <a:graphic xmlns:a="http://schemas.openxmlformats.org/drawingml/2006/main">
                    <a:graphicData uri="http://schemas.openxmlformats.org/drawingml/2006/picture">
                      <pic:pic xmlns:pic="http://schemas.openxmlformats.org/drawingml/2006/picture">
                        <pic:nvPicPr>
                          <pic:cNvPr id="390" name="图片_3"/>
                          <pic:cNvPicPr/>
                        </pic:nvPicPr>
                        <pic:blipFill>
                          <a:blip r:embed="rId56"/>
                          <a:stretch>
                            <a:fillRect/>
                          </a:stretch>
                        </pic:blipFill>
                        <pic:spPr>
                          <a:xfrm>
                            <a:off x="0" y="0"/>
                            <a:ext cx="572770" cy="90297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工程区域及其管理范围或保护范围醒 目位置。</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 铝板 + 工程膜 + 镀锌圆管固定</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标牌尺寸:1870mm*1000mm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53</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工程质量终身责任永久性标牌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57785</wp:posOffset>
                  </wp:positionV>
                  <wp:extent cx="1328420" cy="999490"/>
                  <wp:effectExtent l="0" t="0" r="5080" b="10160"/>
                  <wp:wrapNone/>
                  <wp:docPr id="418" name="图片_51"/>
                  <wp:cNvGraphicFramePr/>
                  <a:graphic xmlns:a="http://schemas.openxmlformats.org/drawingml/2006/main">
                    <a:graphicData uri="http://schemas.openxmlformats.org/drawingml/2006/picture">
                      <pic:pic xmlns:pic="http://schemas.openxmlformats.org/drawingml/2006/picture">
                        <pic:nvPicPr>
                          <pic:cNvPr id="418" name="图片_51"/>
                          <pic:cNvPicPr/>
                        </pic:nvPicPr>
                        <pic:blipFill>
                          <a:blip r:embed="rId57"/>
                          <a:stretch>
                            <a:fillRect/>
                          </a:stretch>
                        </pic:blipFill>
                        <pic:spPr>
                          <a:xfrm>
                            <a:off x="0" y="0"/>
                            <a:ext cx="1328420" cy="99949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工程区域醒目位置。</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1.2mmPC 板 UV 背喷</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600mm*800mm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54</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工程管理责任标识牌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216535</wp:posOffset>
                  </wp:positionV>
                  <wp:extent cx="1516380" cy="1010285"/>
                  <wp:effectExtent l="0" t="0" r="7620" b="18415"/>
                  <wp:wrapNone/>
                  <wp:docPr id="408" name="图片_52"/>
                  <wp:cNvGraphicFramePr/>
                  <a:graphic xmlns:a="http://schemas.openxmlformats.org/drawingml/2006/main">
                    <a:graphicData uri="http://schemas.openxmlformats.org/drawingml/2006/picture">
                      <pic:pic xmlns:pic="http://schemas.openxmlformats.org/drawingml/2006/picture">
                        <pic:nvPicPr>
                          <pic:cNvPr id="408" name="图片_52"/>
                          <pic:cNvPicPr/>
                        </pic:nvPicPr>
                        <pic:blipFill>
                          <a:blip r:embed="rId58"/>
                          <a:stretch>
                            <a:fillRect/>
                          </a:stretch>
                        </pic:blipFill>
                        <pic:spPr>
                          <a:xfrm>
                            <a:off x="0" y="0"/>
                            <a:ext cx="1516380" cy="101028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骨干渠道和水闸、渡槽、倒虹吸等骨干渠系 配套建筑物的醒目位置。</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1.2mmPC 板 UV 背喷，责任人、联系电话处用卡 槽式可替换内部卡片。</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400mm*600mm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55</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制度规程牌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170815</wp:posOffset>
                  </wp:positionH>
                  <wp:positionV relativeFrom="paragraph">
                    <wp:posOffset>278765</wp:posOffset>
                  </wp:positionV>
                  <wp:extent cx="1677670" cy="1555750"/>
                  <wp:effectExtent l="0" t="0" r="17780" b="6350"/>
                  <wp:wrapNone/>
                  <wp:docPr id="415" name="图片_8"/>
                  <wp:cNvGraphicFramePr/>
                  <a:graphic xmlns:a="http://schemas.openxmlformats.org/drawingml/2006/main">
                    <a:graphicData uri="http://schemas.openxmlformats.org/drawingml/2006/picture">
                      <pic:pic xmlns:pic="http://schemas.openxmlformats.org/drawingml/2006/picture">
                        <pic:nvPicPr>
                          <pic:cNvPr id="415" name="图片_8"/>
                          <pic:cNvPicPr/>
                        </pic:nvPicPr>
                        <pic:blipFill>
                          <a:blip r:embed="rId59"/>
                          <a:stretch>
                            <a:fillRect/>
                          </a:stretch>
                        </pic:blipFill>
                        <pic:spPr>
                          <a:xfrm>
                            <a:off x="0" y="0"/>
                            <a:ext cx="1677670" cy="155575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关键岗位职责及规章制度等内容适用于安装 在备用发电机房、闸房等管理房内设备附近醒目位置。</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表面为有机玻璃，抓钉固定四角，框内内容可更替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820*500mm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56</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设备和设施责任牌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317500</wp:posOffset>
                  </wp:positionH>
                  <wp:positionV relativeFrom="paragraph">
                    <wp:posOffset>278130</wp:posOffset>
                  </wp:positionV>
                  <wp:extent cx="1343660" cy="899160"/>
                  <wp:effectExtent l="0" t="0" r="8890" b="15240"/>
                  <wp:wrapNone/>
                  <wp:docPr id="403" name="图片_53"/>
                  <wp:cNvGraphicFramePr/>
                  <a:graphic xmlns:a="http://schemas.openxmlformats.org/drawingml/2006/main">
                    <a:graphicData uri="http://schemas.openxmlformats.org/drawingml/2006/picture">
                      <pic:pic xmlns:pic="http://schemas.openxmlformats.org/drawingml/2006/picture">
                        <pic:nvPicPr>
                          <pic:cNvPr id="403" name="图片_53"/>
                          <pic:cNvPicPr/>
                        </pic:nvPicPr>
                        <pic:blipFill>
                          <a:blip r:embed="rId60"/>
                          <a:stretch>
                            <a:fillRect/>
                          </a:stretch>
                        </pic:blipFill>
                        <pic:spPr>
                          <a:xfrm>
                            <a:off x="0" y="0"/>
                            <a:ext cx="1343660" cy="89916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大型水闸、泵站和应急发电机等机械设备表 面或管理区域醒目位置。</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5MM 亚克力背喷，铝合金型材 +PVC 胶片 UV 打印</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400*600mm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57</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防汛物资仓库责任牌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320040</wp:posOffset>
                  </wp:positionH>
                  <wp:positionV relativeFrom="paragraph">
                    <wp:posOffset>402590</wp:posOffset>
                  </wp:positionV>
                  <wp:extent cx="1245870" cy="909955"/>
                  <wp:effectExtent l="0" t="0" r="11430" b="4445"/>
                  <wp:wrapNone/>
                  <wp:docPr id="419" name="图片_54"/>
                  <wp:cNvGraphicFramePr/>
                  <a:graphic xmlns:a="http://schemas.openxmlformats.org/drawingml/2006/main">
                    <a:graphicData uri="http://schemas.openxmlformats.org/drawingml/2006/picture">
                      <pic:pic xmlns:pic="http://schemas.openxmlformats.org/drawingml/2006/picture">
                        <pic:nvPicPr>
                          <pic:cNvPr id="419" name="图片_54"/>
                          <pic:cNvPicPr/>
                        </pic:nvPicPr>
                        <pic:blipFill>
                          <a:blip r:embed="rId61"/>
                          <a:stretch>
                            <a:fillRect/>
                          </a:stretch>
                        </pic:blipFill>
                        <pic:spPr>
                          <a:xfrm>
                            <a:off x="0" y="0"/>
                            <a:ext cx="1245870" cy="90995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防汛物资仓库醒目位置。</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6MM 亚克力背喷，铝合金型材 +PVC 胶片 UV 打印责任人与联系电话处用亚克力卡槽，内容可更替。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500*700mm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58</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名称类标识标牌</w:t>
            </w:r>
          </w:p>
        </w:tc>
        <w:tc>
          <w:tcPr>
            <w:tcW w:w="28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界碑-保护范围</w:t>
            </w:r>
          </w:p>
        </w:tc>
        <w:tc>
          <w:tcPr>
            <w:tcW w:w="34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167640</wp:posOffset>
                  </wp:positionH>
                  <wp:positionV relativeFrom="paragraph">
                    <wp:posOffset>309880</wp:posOffset>
                  </wp:positionV>
                  <wp:extent cx="1292225" cy="978535"/>
                  <wp:effectExtent l="0" t="0" r="3175" b="12065"/>
                  <wp:wrapNone/>
                  <wp:docPr id="414" name="图片_16"/>
                  <wp:cNvGraphicFramePr/>
                  <a:graphic xmlns:a="http://schemas.openxmlformats.org/drawingml/2006/main">
                    <a:graphicData uri="http://schemas.openxmlformats.org/drawingml/2006/picture">
                      <pic:pic xmlns:pic="http://schemas.openxmlformats.org/drawingml/2006/picture">
                        <pic:nvPicPr>
                          <pic:cNvPr id="414" name="图片_16"/>
                          <pic:cNvPicPr/>
                        </pic:nvPicPr>
                        <pic:blipFill>
                          <a:blip r:embed="rId62"/>
                          <a:stretch>
                            <a:fillRect/>
                          </a:stretch>
                        </pic:blipFill>
                        <pic:spPr>
                          <a:xfrm>
                            <a:off x="0" y="0"/>
                            <a:ext cx="1292225" cy="97853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重要干渠交汇口，重要保护区管理范围边界位置。 可作为地标性构筑物。</w:t>
            </w:r>
          </w:p>
        </w:tc>
        <w:tc>
          <w:tcPr>
            <w:tcW w:w="32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复合型玻璃钢 , 花岗岩（整石制作），不锈钢 / 镀锌板 + 高温静电喷塑</w:t>
            </w:r>
          </w:p>
        </w:tc>
        <w:tc>
          <w:tcPr>
            <w:tcW w:w="2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1300mm*1900mm</w:t>
            </w:r>
          </w:p>
        </w:tc>
        <w:tc>
          <w:tcPr>
            <w:tcW w:w="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59</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界牌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584835</wp:posOffset>
                  </wp:positionH>
                  <wp:positionV relativeFrom="paragraph">
                    <wp:posOffset>74295</wp:posOffset>
                  </wp:positionV>
                  <wp:extent cx="603885" cy="1101725"/>
                  <wp:effectExtent l="0" t="0" r="5715" b="3175"/>
                  <wp:wrapNone/>
                  <wp:docPr id="391" name="图片_19"/>
                  <wp:cNvGraphicFramePr/>
                  <a:graphic xmlns:a="http://schemas.openxmlformats.org/drawingml/2006/main">
                    <a:graphicData uri="http://schemas.openxmlformats.org/drawingml/2006/picture">
                      <pic:pic xmlns:pic="http://schemas.openxmlformats.org/drawingml/2006/picture">
                        <pic:nvPicPr>
                          <pic:cNvPr id="391" name="图片_19"/>
                          <pic:cNvPicPr/>
                        </pic:nvPicPr>
                        <pic:blipFill>
                          <a:blip r:embed="rId63"/>
                          <a:stretch>
                            <a:fillRect/>
                          </a:stretch>
                        </pic:blipFill>
                        <pic:spPr>
                          <a:xfrm>
                            <a:off x="0" y="0"/>
                            <a:ext cx="603885" cy="110172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适用跨县级行政区的干渠，在行政区域交 界处</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2mm 铝板 + 工程膜 + 镀锌圆管固定</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标牌尺寸: 1000* 1870mm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60</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界碑</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427990</wp:posOffset>
                  </wp:positionH>
                  <wp:positionV relativeFrom="paragraph">
                    <wp:posOffset>126365</wp:posOffset>
                  </wp:positionV>
                  <wp:extent cx="1111885" cy="829945"/>
                  <wp:effectExtent l="0" t="0" r="12065" b="8255"/>
                  <wp:wrapNone/>
                  <wp:docPr id="404" name="图片_5"/>
                  <wp:cNvGraphicFramePr/>
                  <a:graphic xmlns:a="http://schemas.openxmlformats.org/drawingml/2006/main">
                    <a:graphicData uri="http://schemas.openxmlformats.org/drawingml/2006/picture">
                      <pic:pic xmlns:pic="http://schemas.openxmlformats.org/drawingml/2006/picture">
                        <pic:nvPicPr>
                          <pic:cNvPr id="404" name="图片_5"/>
                          <pic:cNvPicPr/>
                        </pic:nvPicPr>
                        <pic:blipFill>
                          <a:blip r:embed="rId64"/>
                          <a:stretch>
                            <a:fillRect/>
                          </a:stretch>
                        </pic:blipFill>
                        <pic:spPr>
                          <a:xfrm>
                            <a:off x="0" y="0"/>
                            <a:ext cx="1111885" cy="82994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管理范围边界位置。</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复合型玻璃钢 , 花岗岩（整石制作）</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1000*725*150mm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61</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界桩</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549275</wp:posOffset>
                  </wp:positionH>
                  <wp:positionV relativeFrom="paragraph">
                    <wp:posOffset>126365</wp:posOffset>
                  </wp:positionV>
                  <wp:extent cx="761365" cy="964565"/>
                  <wp:effectExtent l="0" t="0" r="635" b="6985"/>
                  <wp:wrapNone/>
                  <wp:docPr id="393" name="图片_4"/>
                  <wp:cNvGraphicFramePr/>
                  <a:graphic xmlns:a="http://schemas.openxmlformats.org/drawingml/2006/main">
                    <a:graphicData uri="http://schemas.openxmlformats.org/drawingml/2006/picture">
                      <pic:pic xmlns:pic="http://schemas.openxmlformats.org/drawingml/2006/picture">
                        <pic:nvPicPr>
                          <pic:cNvPr id="393" name="图片_4"/>
                          <pic:cNvPicPr/>
                        </pic:nvPicPr>
                        <pic:blipFill>
                          <a:blip r:embed="rId65"/>
                          <a:stretch>
                            <a:fillRect/>
                          </a:stretch>
                        </pic:blipFill>
                        <pic:spPr>
                          <a:xfrm>
                            <a:off x="0" y="0"/>
                            <a:ext cx="761365" cy="96456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管理范围边界位置。</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复合型玻璃钢 , 花岗岩（整石制作）</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1000*200*200mm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62</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公里桩</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572770</wp:posOffset>
                  </wp:positionH>
                  <wp:positionV relativeFrom="paragraph">
                    <wp:posOffset>238760</wp:posOffset>
                  </wp:positionV>
                  <wp:extent cx="720725" cy="1438910"/>
                  <wp:effectExtent l="0" t="0" r="3175" b="8890"/>
                  <wp:wrapNone/>
                  <wp:docPr id="410" name="图片_6"/>
                  <wp:cNvGraphicFramePr/>
                  <a:graphic xmlns:a="http://schemas.openxmlformats.org/drawingml/2006/main">
                    <a:graphicData uri="http://schemas.openxmlformats.org/drawingml/2006/picture">
                      <pic:pic xmlns:pic="http://schemas.openxmlformats.org/drawingml/2006/picture">
                        <pic:nvPicPr>
                          <pic:cNvPr id="410" name="图片_6"/>
                          <pic:cNvPicPr/>
                        </pic:nvPicPr>
                        <pic:blipFill>
                          <a:blip r:embed="rId66"/>
                          <a:stretch>
                            <a:fillRect/>
                          </a:stretch>
                        </pic:blipFill>
                        <pic:spPr>
                          <a:xfrm>
                            <a:off x="0" y="0"/>
                            <a:ext cx="720725" cy="143891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堤顶沿线醒目位置，里程（百米）整数位置， 干渠醒目位置，具体根据堤防、干渠确定。</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复合型玻璃钢，花岗岩整石</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900*300*100mm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63</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百米桩</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427355</wp:posOffset>
                  </wp:positionH>
                  <wp:positionV relativeFrom="paragraph">
                    <wp:posOffset>332740</wp:posOffset>
                  </wp:positionV>
                  <wp:extent cx="1051560" cy="1196975"/>
                  <wp:effectExtent l="0" t="0" r="15240" b="3175"/>
                  <wp:wrapNone/>
                  <wp:docPr id="402" name="图片_7"/>
                  <wp:cNvGraphicFramePr/>
                  <a:graphic xmlns:a="http://schemas.openxmlformats.org/drawingml/2006/main">
                    <a:graphicData uri="http://schemas.openxmlformats.org/drawingml/2006/picture">
                      <pic:pic xmlns:pic="http://schemas.openxmlformats.org/drawingml/2006/picture">
                        <pic:nvPicPr>
                          <pic:cNvPr id="402" name="图片_7"/>
                          <pic:cNvPicPr/>
                        </pic:nvPicPr>
                        <pic:blipFill>
                          <a:blip r:embed="rId67"/>
                          <a:stretch>
                            <a:fillRect/>
                          </a:stretch>
                        </pic:blipFill>
                        <pic:spPr>
                          <a:xfrm>
                            <a:off x="0" y="0"/>
                            <a:ext cx="1051560" cy="119697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堤顶沿线醒目位置，里程（百米）整数位置， 干渠醒目位置，具体根据堤防、干渠确定。</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复合型玻璃钢，花岗岩整石</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700*120*120mm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64</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设备场所名称牌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（电缆井）</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88265</wp:posOffset>
                  </wp:positionH>
                  <wp:positionV relativeFrom="paragraph">
                    <wp:posOffset>256540</wp:posOffset>
                  </wp:positionV>
                  <wp:extent cx="1635125" cy="831215"/>
                  <wp:effectExtent l="0" t="0" r="3175" b="6985"/>
                  <wp:wrapNone/>
                  <wp:docPr id="388" name="图片_17"/>
                  <wp:cNvGraphicFramePr/>
                  <a:graphic xmlns:a="http://schemas.openxmlformats.org/drawingml/2006/main">
                    <a:graphicData uri="http://schemas.openxmlformats.org/drawingml/2006/picture">
                      <pic:pic xmlns:pic="http://schemas.openxmlformats.org/drawingml/2006/picture">
                        <pic:nvPicPr>
                          <pic:cNvPr id="388" name="图片_17"/>
                          <pic:cNvPicPr/>
                        </pic:nvPicPr>
                        <pic:blipFill>
                          <a:blip r:embed="rId68"/>
                          <a:stretch>
                            <a:fillRect/>
                          </a:stretch>
                        </pic:blipFill>
                        <pic:spPr>
                          <a:xfrm>
                            <a:off x="0" y="0"/>
                            <a:ext cx="1635125" cy="83121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适用于安装在电缆井关键设备区域门牌</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拉丝古铜色色板雕刻</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130*300mm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65</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设备场所名称牌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（路灯）</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230505</wp:posOffset>
                  </wp:positionH>
                  <wp:positionV relativeFrom="paragraph">
                    <wp:posOffset>175260</wp:posOffset>
                  </wp:positionV>
                  <wp:extent cx="1501140" cy="999490"/>
                  <wp:effectExtent l="0" t="0" r="3810" b="10160"/>
                  <wp:wrapNone/>
                  <wp:docPr id="389" name="图片_47"/>
                  <wp:cNvGraphicFramePr/>
                  <a:graphic xmlns:a="http://schemas.openxmlformats.org/drawingml/2006/main">
                    <a:graphicData uri="http://schemas.openxmlformats.org/drawingml/2006/picture">
                      <pic:pic xmlns:pic="http://schemas.openxmlformats.org/drawingml/2006/picture">
                        <pic:nvPicPr>
                          <pic:cNvPr id="389" name="图片_47"/>
                          <pic:cNvPicPr/>
                        </pic:nvPicPr>
                        <pic:blipFill>
                          <a:blip r:embed="rId10"/>
                          <a:stretch>
                            <a:fillRect/>
                          </a:stretch>
                        </pic:blipFill>
                        <pic:spPr>
                          <a:xfrm>
                            <a:off x="0" y="0"/>
                            <a:ext cx="1501140" cy="99949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适用于安装在路灯关键设备区域门牌</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拉丝古铜色色板雕刻</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200*300mm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66</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设备场所名称牌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（喷淋水泵接合器）</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140335</wp:posOffset>
                  </wp:positionH>
                  <wp:positionV relativeFrom="paragraph">
                    <wp:posOffset>222250</wp:posOffset>
                  </wp:positionV>
                  <wp:extent cx="1535430" cy="855345"/>
                  <wp:effectExtent l="0" t="0" r="7620" b="1905"/>
                  <wp:wrapNone/>
                  <wp:docPr id="395" name="图片_48"/>
                  <wp:cNvGraphicFramePr/>
                  <a:graphic xmlns:a="http://schemas.openxmlformats.org/drawingml/2006/main">
                    <a:graphicData uri="http://schemas.openxmlformats.org/drawingml/2006/picture">
                      <pic:pic xmlns:pic="http://schemas.openxmlformats.org/drawingml/2006/picture">
                        <pic:nvPicPr>
                          <pic:cNvPr id="395" name="图片_48"/>
                          <pic:cNvPicPr/>
                        </pic:nvPicPr>
                        <pic:blipFill>
                          <a:blip r:embed="rId69"/>
                          <a:stretch>
                            <a:fillRect/>
                          </a:stretch>
                        </pic:blipFill>
                        <pic:spPr>
                          <a:xfrm>
                            <a:off x="0" y="0"/>
                            <a:ext cx="1535430" cy="85534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适用于安装在喷淋水泵接合器关键设备区域门牌</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拉丝古铜色色板雕刻</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130*300mm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67</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排污泵</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233680</wp:posOffset>
                  </wp:positionV>
                  <wp:extent cx="1758950" cy="820420"/>
                  <wp:effectExtent l="0" t="0" r="12700" b="17780"/>
                  <wp:wrapNone/>
                  <wp:docPr id="397" name="图片_49"/>
                  <wp:cNvGraphicFramePr/>
                  <a:graphic xmlns:a="http://schemas.openxmlformats.org/drawingml/2006/main">
                    <a:graphicData uri="http://schemas.openxmlformats.org/drawingml/2006/picture">
                      <pic:pic xmlns:pic="http://schemas.openxmlformats.org/drawingml/2006/picture">
                        <pic:nvPicPr>
                          <pic:cNvPr id="397" name="图片_49"/>
                          <pic:cNvPicPr/>
                        </pic:nvPicPr>
                        <pic:blipFill>
                          <a:blip r:embed="rId70"/>
                          <a:stretch>
                            <a:fillRect/>
                          </a:stretch>
                        </pic:blipFill>
                        <pic:spPr>
                          <a:xfrm>
                            <a:off x="0" y="0"/>
                            <a:ext cx="1758950" cy="82042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适用于安装在排污泵关键设备区域门牌</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拉丝古铜色色板雕刻</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130*300mm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68</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正压送风机</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59055</wp:posOffset>
                  </wp:positionH>
                  <wp:positionV relativeFrom="paragraph">
                    <wp:posOffset>250825</wp:posOffset>
                  </wp:positionV>
                  <wp:extent cx="1739900" cy="942975"/>
                  <wp:effectExtent l="0" t="0" r="12700" b="9525"/>
                  <wp:wrapNone/>
                  <wp:docPr id="412" name="图片_50"/>
                  <wp:cNvGraphicFramePr/>
                  <a:graphic xmlns:a="http://schemas.openxmlformats.org/drawingml/2006/main">
                    <a:graphicData uri="http://schemas.openxmlformats.org/drawingml/2006/picture">
                      <pic:pic xmlns:pic="http://schemas.openxmlformats.org/drawingml/2006/picture">
                        <pic:nvPicPr>
                          <pic:cNvPr id="412" name="图片_50"/>
                          <pic:cNvPicPr/>
                        </pic:nvPicPr>
                        <pic:blipFill>
                          <a:blip r:embed="rId71"/>
                          <a:stretch>
                            <a:fillRect/>
                          </a:stretch>
                        </pic:blipFill>
                        <pic:spPr>
                          <a:xfrm>
                            <a:off x="0" y="0"/>
                            <a:ext cx="1739900" cy="94297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适用于安装在正压送风井关键设备区域门牌</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拉丝古铜色色板雕刻</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130*300mm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69</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设备牌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201295</wp:posOffset>
                  </wp:positionH>
                  <wp:positionV relativeFrom="paragraph">
                    <wp:posOffset>160655</wp:posOffset>
                  </wp:positionV>
                  <wp:extent cx="1587500" cy="971550"/>
                  <wp:effectExtent l="0" t="0" r="12700" b="0"/>
                  <wp:wrapNone/>
                  <wp:docPr id="413" name="图片_9"/>
                  <wp:cNvGraphicFramePr/>
                  <a:graphic xmlns:a="http://schemas.openxmlformats.org/drawingml/2006/main">
                    <a:graphicData uri="http://schemas.openxmlformats.org/drawingml/2006/picture">
                      <pic:pic xmlns:pic="http://schemas.openxmlformats.org/drawingml/2006/picture">
                        <pic:nvPicPr>
                          <pic:cNvPr id="413" name="图片_9"/>
                          <pic:cNvPicPr/>
                        </pic:nvPicPr>
                        <pic:blipFill>
                          <a:blip r:embed="rId72"/>
                          <a:stretch>
                            <a:fillRect/>
                          </a:stretch>
                        </pic:blipFill>
                        <pic:spPr>
                          <a:xfrm>
                            <a:off x="0" y="0"/>
                            <a:ext cx="1587500" cy="97155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多孔水闸启闭机、渡槽桁架和泵站水泵等设 备编号。</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双色板雕刻</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Style w:val="166"/>
                <w:rFonts w:ascii="宋体" w:hAnsi="宋体" w:eastAsia="宋体" w:cs="宋体"/>
                <w:sz w:val="24"/>
                <w:szCs w:val="24"/>
                <w:lang w:val="en-US" w:eastAsia="zh-CN" w:bidi="ar"/>
              </w:rPr>
              <w:t>Φ</w:t>
            </w:r>
            <w:r>
              <w:rPr>
                <w:rStyle w:val="165"/>
                <w:lang w:val="en-US" w:eastAsia="zh-CN" w:bidi="ar"/>
              </w:rPr>
              <w:t>25mm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70</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管路物质流向牌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271780</wp:posOffset>
                  </wp:positionH>
                  <wp:positionV relativeFrom="paragraph">
                    <wp:posOffset>487680</wp:posOffset>
                  </wp:positionV>
                  <wp:extent cx="1400810" cy="1840865"/>
                  <wp:effectExtent l="0" t="0" r="8890" b="6985"/>
                  <wp:wrapNone/>
                  <wp:docPr id="400" name="图片_29"/>
                  <wp:cNvGraphicFramePr/>
                  <a:graphic xmlns:a="http://schemas.openxmlformats.org/drawingml/2006/main">
                    <a:graphicData uri="http://schemas.openxmlformats.org/drawingml/2006/picture">
                      <pic:pic xmlns:pic="http://schemas.openxmlformats.org/drawingml/2006/picture">
                        <pic:nvPicPr>
                          <pic:cNvPr id="400" name="图片_29"/>
                          <pic:cNvPicPr/>
                        </pic:nvPicPr>
                        <pic:blipFill>
                          <a:blip r:embed="rId73"/>
                          <a:stretch>
                            <a:fillRect/>
                          </a:stretch>
                        </pic:blipFill>
                        <pic:spPr>
                          <a:xfrm>
                            <a:off x="0" y="0"/>
                            <a:ext cx="1400810" cy="184086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在管道全长上标识；在管道上以宽为 150mm 的色环标识；在管道上以带箭头的长方形识别色标牌标 识；在管道上以系挂的识别色标牌标识。</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双色板雕刻</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宽150mm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71</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监控设施牌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107950</wp:posOffset>
                  </wp:positionH>
                  <wp:positionV relativeFrom="paragraph">
                    <wp:posOffset>205105</wp:posOffset>
                  </wp:positionV>
                  <wp:extent cx="1682115" cy="662940"/>
                  <wp:effectExtent l="0" t="0" r="13335" b="3810"/>
                  <wp:wrapNone/>
                  <wp:docPr id="411" name="图片_18"/>
                  <wp:cNvGraphicFramePr/>
                  <a:graphic xmlns:a="http://schemas.openxmlformats.org/drawingml/2006/main">
                    <a:graphicData uri="http://schemas.openxmlformats.org/drawingml/2006/picture">
                      <pic:pic xmlns:pic="http://schemas.openxmlformats.org/drawingml/2006/picture">
                        <pic:nvPicPr>
                          <pic:cNvPr id="411" name="图片_18"/>
                          <pic:cNvPicPr/>
                        </pic:nvPicPr>
                        <pic:blipFill>
                          <a:blip r:embed="rId74"/>
                          <a:stretch>
                            <a:fillRect/>
                          </a:stretch>
                        </pic:blipFill>
                        <pic:spPr>
                          <a:xfrm>
                            <a:off x="0" y="0"/>
                            <a:ext cx="1682115" cy="66294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监测设施、测点表面或周边醒目位置。</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1.2mmPC 板 UV 背喷</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250*200mm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72</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指引类标识标牌</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巡视路线牌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145415</wp:posOffset>
                  </wp:positionH>
                  <wp:positionV relativeFrom="paragraph">
                    <wp:posOffset>636905</wp:posOffset>
                  </wp:positionV>
                  <wp:extent cx="1668780" cy="509905"/>
                  <wp:effectExtent l="0" t="0" r="7620" b="4445"/>
                  <wp:wrapNone/>
                  <wp:docPr id="401" name="图片_12"/>
                  <wp:cNvGraphicFramePr/>
                  <a:graphic xmlns:a="http://schemas.openxmlformats.org/drawingml/2006/main">
                    <a:graphicData uri="http://schemas.openxmlformats.org/drawingml/2006/picture">
                      <pic:pic xmlns:pic="http://schemas.openxmlformats.org/drawingml/2006/picture">
                        <pic:nvPicPr>
                          <pic:cNvPr id="401" name="图片_12"/>
                          <pic:cNvPicPr/>
                        </pic:nvPicPr>
                        <pic:blipFill>
                          <a:blip r:embed="rId75"/>
                          <a:stretch>
                            <a:fillRect/>
                          </a:stretch>
                        </pic:blipFill>
                        <pic:spPr>
                          <a:xfrm>
                            <a:off x="0" y="0"/>
                            <a:ext cx="1668780" cy="50990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大型水闸（闸室）、泵站（泵房）的巡查、 观测线路主要路径和节点的醒目位置、工作点位</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 地板膜</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800mm*150mm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73</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路线巡视牌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（左拐）</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449580</wp:posOffset>
                  </wp:positionH>
                  <wp:positionV relativeFrom="paragraph">
                    <wp:posOffset>408305</wp:posOffset>
                  </wp:positionV>
                  <wp:extent cx="936625" cy="936625"/>
                  <wp:effectExtent l="0" t="0" r="15875" b="15875"/>
                  <wp:wrapNone/>
                  <wp:docPr id="405" name="图片_21"/>
                  <wp:cNvGraphicFramePr/>
                  <a:graphic xmlns:a="http://schemas.openxmlformats.org/drawingml/2006/main">
                    <a:graphicData uri="http://schemas.openxmlformats.org/drawingml/2006/picture">
                      <pic:pic xmlns:pic="http://schemas.openxmlformats.org/drawingml/2006/picture">
                        <pic:nvPicPr>
                          <pic:cNvPr id="405" name="图片_21"/>
                          <pic:cNvPicPr/>
                        </pic:nvPicPr>
                        <pic:blipFill>
                          <a:blip r:embed="rId76"/>
                          <a:stretch>
                            <a:fillRect/>
                          </a:stretch>
                        </pic:blipFill>
                        <pic:spPr>
                          <a:xfrm>
                            <a:off x="0" y="0"/>
                            <a:ext cx="936625" cy="93662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大型水闸（闸室）、泵站（泵房）的巡查、 观测线路主要路径和节点的醒目位置、工作点位</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 地板膜</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400mm*400mm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74</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路线巡视牌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（右拐）</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511810</wp:posOffset>
                  </wp:positionH>
                  <wp:positionV relativeFrom="paragraph">
                    <wp:posOffset>454660</wp:posOffset>
                  </wp:positionV>
                  <wp:extent cx="828040" cy="836295"/>
                  <wp:effectExtent l="0" t="0" r="10160" b="1905"/>
                  <wp:wrapNone/>
                  <wp:docPr id="406" name="图片_22"/>
                  <wp:cNvGraphicFramePr/>
                  <a:graphic xmlns:a="http://schemas.openxmlformats.org/drawingml/2006/main">
                    <a:graphicData uri="http://schemas.openxmlformats.org/drawingml/2006/picture">
                      <pic:pic xmlns:pic="http://schemas.openxmlformats.org/drawingml/2006/picture">
                        <pic:nvPicPr>
                          <pic:cNvPr id="406" name="图片_22"/>
                          <pic:cNvPicPr/>
                        </pic:nvPicPr>
                        <pic:blipFill>
                          <a:blip r:embed="rId77"/>
                          <a:stretch>
                            <a:fillRect/>
                          </a:stretch>
                        </pic:blipFill>
                        <pic:spPr>
                          <a:xfrm>
                            <a:off x="0" y="0"/>
                            <a:ext cx="828040" cy="83629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大型水闸（闸室）、泵站（泵房）的巡查、 观测线路主要路径和节点的醒目位置、工作点位</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 地板膜</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400mm*400mm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75</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巡视点牌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316865</wp:posOffset>
                  </wp:positionH>
                  <wp:positionV relativeFrom="paragraph">
                    <wp:posOffset>208280</wp:posOffset>
                  </wp:positionV>
                  <wp:extent cx="1310640" cy="994410"/>
                  <wp:effectExtent l="0" t="0" r="3810" b="15240"/>
                  <wp:wrapNone/>
                  <wp:docPr id="416" name="图片_13"/>
                  <wp:cNvGraphicFramePr/>
                  <a:graphic xmlns:a="http://schemas.openxmlformats.org/drawingml/2006/main">
                    <a:graphicData uri="http://schemas.openxmlformats.org/drawingml/2006/picture">
                      <pic:pic xmlns:pic="http://schemas.openxmlformats.org/drawingml/2006/picture">
                        <pic:nvPicPr>
                          <pic:cNvPr id="416" name="图片_13"/>
                          <pic:cNvPicPr/>
                        </pic:nvPicPr>
                        <pic:blipFill>
                          <a:blip r:embed="rId78"/>
                          <a:stretch>
                            <a:fillRect/>
                          </a:stretch>
                        </pic:blipFill>
                        <pic:spPr>
                          <a:xfrm>
                            <a:off x="0" y="0"/>
                            <a:ext cx="1310640" cy="99441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巡视点用于主要观测点附近。</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 地板膜</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300*400mm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76</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警示类标识标牌</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重大危险源安全风险公告栏</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334010</wp:posOffset>
                  </wp:positionH>
                  <wp:positionV relativeFrom="paragraph">
                    <wp:posOffset>359410</wp:posOffset>
                  </wp:positionV>
                  <wp:extent cx="1264285" cy="930910"/>
                  <wp:effectExtent l="0" t="0" r="12065" b="2540"/>
                  <wp:wrapNone/>
                  <wp:docPr id="445" name="图片_31"/>
                  <wp:cNvGraphicFramePr/>
                  <a:graphic xmlns:a="http://schemas.openxmlformats.org/drawingml/2006/main">
                    <a:graphicData uri="http://schemas.openxmlformats.org/drawingml/2006/picture">
                      <pic:pic xmlns:pic="http://schemas.openxmlformats.org/drawingml/2006/picture">
                        <pic:nvPicPr>
                          <pic:cNvPr id="445" name="图片_31"/>
                          <pic:cNvPicPr/>
                        </pic:nvPicPr>
                        <pic:blipFill>
                          <a:blip r:embed="rId18"/>
                          <a:stretch>
                            <a:fillRect/>
                          </a:stretch>
                        </pic:blipFill>
                        <pic:spPr>
                          <a:xfrm>
                            <a:off x="0" y="0"/>
                            <a:ext cx="1264285" cy="93091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大型水闸、泵站和应急发电机等机械设备表 面或管理区域醒目位置</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5MM 亚克力背喷，铝合金型材 +PVC 胶片 UV 打印</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550*700mm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77</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消防器材规范标识牌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电梯</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560705</wp:posOffset>
                  </wp:positionH>
                  <wp:positionV relativeFrom="paragraph">
                    <wp:posOffset>210820</wp:posOffset>
                  </wp:positionV>
                  <wp:extent cx="707390" cy="1036320"/>
                  <wp:effectExtent l="0" t="0" r="16510" b="11430"/>
                  <wp:wrapNone/>
                  <wp:docPr id="425" name="图片_24"/>
                  <wp:cNvGraphicFramePr/>
                  <a:graphic xmlns:a="http://schemas.openxmlformats.org/drawingml/2006/main">
                    <a:graphicData uri="http://schemas.openxmlformats.org/drawingml/2006/picture">
                      <pic:pic xmlns:pic="http://schemas.openxmlformats.org/drawingml/2006/picture">
                        <pic:nvPicPr>
                          <pic:cNvPr id="425" name="图片_24"/>
                          <pic:cNvPicPr/>
                        </pic:nvPicPr>
                        <pic:blipFill>
                          <a:blip r:embed="rId79"/>
                          <a:stretch>
                            <a:fillRect/>
                          </a:stretch>
                        </pic:blipFill>
                        <pic:spPr>
                          <a:xfrm>
                            <a:off x="0" y="0"/>
                            <a:ext cx="707390" cy="103632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机关单位、基层单位和建筑物的电梯 内墙上</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5MM 亚克力背喷，亚克力插盒</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高300*宽450mm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78</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消防器材规范标识牌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安全通道</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216535</wp:posOffset>
                  </wp:positionV>
                  <wp:extent cx="1362075" cy="952500"/>
                  <wp:effectExtent l="0" t="0" r="9525" b="0"/>
                  <wp:wrapNone/>
                  <wp:docPr id="426" name="图片_25"/>
                  <wp:cNvGraphicFramePr/>
                  <a:graphic xmlns:a="http://schemas.openxmlformats.org/drawingml/2006/main">
                    <a:graphicData uri="http://schemas.openxmlformats.org/drawingml/2006/picture">
                      <pic:pic xmlns:pic="http://schemas.openxmlformats.org/drawingml/2006/picture">
                        <pic:nvPicPr>
                          <pic:cNvPr id="426" name="图片_25"/>
                          <pic:cNvPicPr/>
                        </pic:nvPicPr>
                        <pic:blipFill>
                          <a:blip r:embed="rId20"/>
                          <a:stretch>
                            <a:fillRect/>
                          </a:stretch>
                        </pic:blipFill>
                        <pic:spPr>
                          <a:xfrm>
                            <a:off x="0" y="0"/>
                            <a:ext cx="1362075" cy="95250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机关单位、基层单位和建筑物安全通 道的防火门上</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5MM 亚克力背喷，亚克力插盒</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高 380* 宽 550mm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79</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消防器材规范标识牌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微型消防站</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249555</wp:posOffset>
                  </wp:positionV>
                  <wp:extent cx="1318260" cy="951865"/>
                  <wp:effectExtent l="0" t="0" r="15240" b="635"/>
                  <wp:wrapNone/>
                  <wp:docPr id="444" name="图片_23"/>
                  <wp:cNvGraphicFramePr/>
                  <a:graphic xmlns:a="http://schemas.openxmlformats.org/drawingml/2006/main">
                    <a:graphicData uri="http://schemas.openxmlformats.org/drawingml/2006/picture">
                      <pic:pic xmlns:pic="http://schemas.openxmlformats.org/drawingml/2006/picture">
                        <pic:nvPicPr>
                          <pic:cNvPr id="444" name="图片_23"/>
                          <pic:cNvPicPr/>
                        </pic:nvPicPr>
                        <pic:blipFill>
                          <a:blip r:embed="rId80"/>
                          <a:stretch>
                            <a:fillRect/>
                          </a:stretch>
                        </pic:blipFill>
                        <pic:spPr>
                          <a:xfrm>
                            <a:off x="0" y="0"/>
                            <a:ext cx="1318260" cy="95186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机关单位、基层单位和建筑物内微型 消防站柜门旁边的墙上。</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5MM 亚克力背喷，亚克力插盒，3M 车贴 +3M 地板膜</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高500mm*宽700mm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80</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消防器材规范标识牌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消火栓</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636905</wp:posOffset>
                  </wp:positionH>
                  <wp:positionV relativeFrom="paragraph">
                    <wp:posOffset>62865</wp:posOffset>
                  </wp:positionV>
                  <wp:extent cx="642620" cy="994410"/>
                  <wp:effectExtent l="0" t="0" r="5080" b="15240"/>
                  <wp:wrapNone/>
                  <wp:docPr id="431" name="图片_26"/>
                  <wp:cNvGraphicFramePr/>
                  <a:graphic xmlns:a="http://schemas.openxmlformats.org/drawingml/2006/main">
                    <a:graphicData uri="http://schemas.openxmlformats.org/drawingml/2006/picture">
                      <pic:pic xmlns:pic="http://schemas.openxmlformats.org/drawingml/2006/picture">
                        <pic:nvPicPr>
                          <pic:cNvPr id="431" name="图片_26"/>
                          <pic:cNvPicPr/>
                        </pic:nvPicPr>
                        <pic:blipFill>
                          <a:blip r:embed="rId81"/>
                          <a:stretch>
                            <a:fillRect/>
                          </a:stretch>
                        </pic:blipFill>
                        <pic:spPr>
                          <a:xfrm>
                            <a:off x="0" y="0"/>
                            <a:ext cx="642620" cy="99441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机关单位、基层单位和建筑物消防器材安 置处。</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5MM 亚克力背喷，亚克力插盒</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高 680* 宽 450mm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81</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消防器材规范标识牌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灭火器</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572770</wp:posOffset>
                  </wp:positionH>
                  <wp:positionV relativeFrom="paragraph">
                    <wp:posOffset>84455</wp:posOffset>
                  </wp:positionV>
                  <wp:extent cx="802005" cy="972820"/>
                  <wp:effectExtent l="0" t="0" r="17145" b="17780"/>
                  <wp:wrapNone/>
                  <wp:docPr id="450" name="图片_27"/>
                  <wp:cNvGraphicFramePr/>
                  <a:graphic xmlns:a="http://schemas.openxmlformats.org/drawingml/2006/main">
                    <a:graphicData uri="http://schemas.openxmlformats.org/drawingml/2006/picture">
                      <pic:pic xmlns:pic="http://schemas.openxmlformats.org/drawingml/2006/picture">
                        <pic:nvPicPr>
                          <pic:cNvPr id="450" name="图片_27"/>
                          <pic:cNvPicPr/>
                        </pic:nvPicPr>
                        <pic:blipFill>
                          <a:blip r:embed="rId82"/>
                          <a:stretch>
                            <a:fillRect/>
                          </a:stretch>
                        </pic:blipFill>
                        <pic:spPr>
                          <a:xfrm>
                            <a:off x="0" y="0"/>
                            <a:ext cx="802005" cy="97282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机关单位、基层单位和建筑物消防器材安 置处。</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5MM 亚克力背喷，亚克力插盒</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高 550* 宽 450mm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82</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消防器材规范标识牌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警戒线</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361315</wp:posOffset>
                  </wp:positionH>
                  <wp:positionV relativeFrom="paragraph">
                    <wp:posOffset>163195</wp:posOffset>
                  </wp:positionV>
                  <wp:extent cx="1367155" cy="736600"/>
                  <wp:effectExtent l="0" t="0" r="4445" b="6350"/>
                  <wp:wrapNone/>
                  <wp:docPr id="432" name="图片_28"/>
                  <wp:cNvGraphicFramePr/>
                  <a:graphic xmlns:a="http://schemas.openxmlformats.org/drawingml/2006/main">
                    <a:graphicData uri="http://schemas.openxmlformats.org/drawingml/2006/picture">
                      <pic:pic xmlns:pic="http://schemas.openxmlformats.org/drawingml/2006/picture">
                        <pic:nvPicPr>
                          <pic:cNvPr id="432" name="图片_28"/>
                          <pic:cNvPicPr/>
                        </pic:nvPicPr>
                        <pic:blipFill>
                          <a:blip r:embed="rId83"/>
                          <a:stretch>
                            <a:fillRect/>
                          </a:stretch>
                        </pic:blipFill>
                        <pic:spPr>
                          <a:xfrm>
                            <a:off x="0" y="0"/>
                            <a:ext cx="1367155" cy="73660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机关单位、基层单位和建筑物消防器材安 置处。</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3M车贴+3M地板膜</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警戒线宽80mm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83</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工程警示标线</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204470</wp:posOffset>
                  </wp:positionH>
                  <wp:positionV relativeFrom="paragraph">
                    <wp:posOffset>679450</wp:posOffset>
                  </wp:positionV>
                  <wp:extent cx="1607185" cy="831215"/>
                  <wp:effectExtent l="0" t="0" r="12065" b="6985"/>
                  <wp:wrapNone/>
                  <wp:docPr id="433" name="图片_20"/>
                  <wp:cNvGraphicFramePr/>
                  <a:graphic xmlns:a="http://schemas.openxmlformats.org/drawingml/2006/main">
                    <a:graphicData uri="http://schemas.openxmlformats.org/drawingml/2006/picture">
                      <pic:pic xmlns:pic="http://schemas.openxmlformats.org/drawingml/2006/picture">
                        <pic:nvPicPr>
                          <pic:cNvPr id="433" name="图片_20"/>
                          <pic:cNvPicPr/>
                        </pic:nvPicPr>
                        <pic:blipFill>
                          <a:blip r:embed="rId84"/>
                          <a:stretch>
                            <a:fillRect/>
                          </a:stretch>
                        </pic:blipFill>
                        <pic:spPr>
                          <a:xfrm>
                            <a:off x="0" y="0"/>
                            <a:ext cx="1607185" cy="83121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启闭设备、电气设备、消防设施设备、重要仪器设 备等周边，与所保护对象垂直间距一般不少于 20 cm。</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地坪油漆</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宽 80mm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84</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地坪漆</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232410</wp:posOffset>
                  </wp:positionH>
                  <wp:positionV relativeFrom="paragraph">
                    <wp:posOffset>105410</wp:posOffset>
                  </wp:positionV>
                  <wp:extent cx="1398270" cy="1120140"/>
                  <wp:effectExtent l="0" t="0" r="11430" b="3810"/>
                  <wp:wrapNone/>
                  <wp:docPr id="434" name="图片_107"/>
                  <wp:cNvGraphicFramePr/>
                  <a:graphic xmlns:a="http://schemas.openxmlformats.org/drawingml/2006/main">
                    <a:graphicData uri="http://schemas.openxmlformats.org/drawingml/2006/picture">
                      <pic:pic xmlns:pic="http://schemas.openxmlformats.org/drawingml/2006/picture">
                        <pic:nvPicPr>
                          <pic:cNvPr id="434" name="图片_107"/>
                          <pic:cNvPicPr/>
                        </pic:nvPicPr>
                        <pic:blipFill>
                          <a:blip r:embed="rId85"/>
                          <a:stretch>
                            <a:fillRect/>
                          </a:stretch>
                        </pic:blipFill>
                        <pic:spPr>
                          <a:xfrm>
                            <a:off x="0" y="0"/>
                            <a:ext cx="1398270" cy="112014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所有闸房内部地面</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地坪油漆</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以实际面积为准</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85</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禁止游泳牌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（大）</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654685</wp:posOffset>
                  </wp:positionH>
                  <wp:positionV relativeFrom="paragraph">
                    <wp:posOffset>323850</wp:posOffset>
                  </wp:positionV>
                  <wp:extent cx="544195" cy="1026160"/>
                  <wp:effectExtent l="0" t="0" r="8255" b="2540"/>
                  <wp:wrapNone/>
                  <wp:docPr id="428" name="图片_32"/>
                  <wp:cNvGraphicFramePr/>
                  <a:graphic xmlns:a="http://schemas.openxmlformats.org/drawingml/2006/main">
                    <a:graphicData uri="http://schemas.openxmlformats.org/drawingml/2006/picture">
                      <pic:pic xmlns:pic="http://schemas.openxmlformats.org/drawingml/2006/picture">
                        <pic:nvPicPr>
                          <pic:cNvPr id="428" name="图片_32"/>
                          <pic:cNvPicPr/>
                        </pic:nvPicPr>
                        <pic:blipFill>
                          <a:blip r:embed="rId86"/>
                          <a:stretch>
                            <a:fillRect/>
                          </a:stretch>
                        </pic:blipFill>
                        <pic:spPr>
                          <a:xfrm>
                            <a:off x="0" y="0"/>
                            <a:ext cx="544195" cy="102616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易发生危险的场所，如闸房、泄洪设施进出口； 水闸上下游、左右岸管理范围内；未封闭的干渠周边醒 目位置；溢洪道等临崖、临空部位；未封闭的渡槽两端 醒目位置等。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1.2mm 不锈钢烤漆丝印 + 镀锌圆管固定</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740*1110mm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86</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禁止游泳牌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（小）</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666115</wp:posOffset>
                  </wp:positionH>
                  <wp:positionV relativeFrom="paragraph">
                    <wp:posOffset>1130935</wp:posOffset>
                  </wp:positionV>
                  <wp:extent cx="652780" cy="1247140"/>
                  <wp:effectExtent l="0" t="0" r="13970" b="10160"/>
                  <wp:wrapNone/>
                  <wp:docPr id="446" name="图片_33"/>
                  <wp:cNvGraphicFramePr/>
                  <a:graphic xmlns:a="http://schemas.openxmlformats.org/drawingml/2006/main">
                    <a:graphicData uri="http://schemas.openxmlformats.org/drawingml/2006/picture">
                      <pic:pic xmlns:pic="http://schemas.openxmlformats.org/drawingml/2006/picture">
                        <pic:nvPicPr>
                          <pic:cNvPr id="446" name="图片_33"/>
                          <pic:cNvPicPr/>
                        </pic:nvPicPr>
                        <pic:blipFill>
                          <a:blip r:embed="rId87"/>
                          <a:stretch>
                            <a:fillRect/>
                          </a:stretch>
                        </pic:blipFill>
                        <pic:spPr>
                          <a:xfrm>
                            <a:off x="0" y="0"/>
                            <a:ext cx="652780" cy="124714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易发生危险的场所，如闸房、泄洪设施进出口； 水闸上下游、左右岸管理范围内；未封闭的干渠周边醒 目位置；溢洪道等临崖、临空部位；未封闭的渡槽两端 醒目位置等。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1.2mm 不锈钢烤漆丝印 + 镀锌圆管固定</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370*560mm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87</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工作桥</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194945</wp:posOffset>
                  </wp:positionV>
                  <wp:extent cx="1303020" cy="993775"/>
                  <wp:effectExtent l="0" t="0" r="11430" b="15875"/>
                  <wp:wrapNone/>
                  <wp:docPr id="449" name="图片_55"/>
                  <wp:cNvGraphicFramePr/>
                  <a:graphic xmlns:a="http://schemas.openxmlformats.org/drawingml/2006/main">
                    <a:graphicData uri="http://schemas.openxmlformats.org/drawingml/2006/picture">
                      <pic:pic xmlns:pic="http://schemas.openxmlformats.org/drawingml/2006/picture">
                        <pic:nvPicPr>
                          <pic:cNvPr id="449" name="图片_55"/>
                          <pic:cNvPicPr/>
                        </pic:nvPicPr>
                        <pic:blipFill>
                          <a:blip r:embed="rId88"/>
                          <a:stretch>
                            <a:fillRect/>
                          </a:stretch>
                        </pic:blipFill>
                        <pic:spPr>
                          <a:xfrm>
                            <a:off x="0" y="0"/>
                            <a:ext cx="1303020" cy="99377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工作桥护栏上。</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亚克力板，胶固或螺丝固定</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300*400mm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88</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正压送风口</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262890</wp:posOffset>
                  </wp:positionH>
                  <wp:positionV relativeFrom="paragraph">
                    <wp:posOffset>347345</wp:posOffset>
                  </wp:positionV>
                  <wp:extent cx="1594485" cy="757555"/>
                  <wp:effectExtent l="0" t="0" r="5715" b="4445"/>
                  <wp:wrapNone/>
                  <wp:docPr id="447" name="图片_56"/>
                  <wp:cNvGraphicFramePr/>
                  <a:graphic xmlns:a="http://schemas.openxmlformats.org/drawingml/2006/main">
                    <a:graphicData uri="http://schemas.openxmlformats.org/drawingml/2006/picture">
                      <pic:pic xmlns:pic="http://schemas.openxmlformats.org/drawingml/2006/picture">
                        <pic:nvPicPr>
                          <pic:cNvPr id="447" name="图片_56"/>
                          <pic:cNvPicPr/>
                        </pic:nvPicPr>
                        <pic:blipFill>
                          <a:blip r:embed="rId89"/>
                          <a:stretch>
                            <a:fillRect/>
                          </a:stretch>
                        </pic:blipFill>
                        <pic:spPr>
                          <a:xfrm>
                            <a:off x="0" y="0"/>
                            <a:ext cx="1594485" cy="75755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正压送风口附近明显位置。</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亚克力板，胶固或螺丝固定</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130*300mm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89</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禁止堆放</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647700</wp:posOffset>
                  </wp:positionH>
                  <wp:positionV relativeFrom="paragraph">
                    <wp:posOffset>152400</wp:posOffset>
                  </wp:positionV>
                  <wp:extent cx="673100" cy="1104900"/>
                  <wp:effectExtent l="0" t="0" r="12700" b="0"/>
                  <wp:wrapNone/>
                  <wp:docPr id="451" name="图片_34"/>
                  <wp:cNvGraphicFramePr/>
                  <a:graphic xmlns:a="http://schemas.openxmlformats.org/drawingml/2006/main">
                    <a:graphicData uri="http://schemas.openxmlformats.org/drawingml/2006/picture">
                      <pic:pic xmlns:pic="http://schemas.openxmlformats.org/drawingml/2006/picture">
                        <pic:nvPicPr>
                          <pic:cNvPr id="451" name="图片_34"/>
                          <pic:cNvPicPr/>
                        </pic:nvPicPr>
                        <pic:blipFill>
                          <a:blip r:embed="rId25"/>
                          <a:stretch>
                            <a:fillRect/>
                          </a:stretch>
                        </pic:blipFill>
                        <pic:spPr>
                          <a:xfrm>
                            <a:off x="0" y="0"/>
                            <a:ext cx="673100" cy="110490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消防器材存放处、消防通道 及车间主通道等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90</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禁止攀登</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624840</wp:posOffset>
                  </wp:positionH>
                  <wp:positionV relativeFrom="paragraph">
                    <wp:posOffset>742315</wp:posOffset>
                  </wp:positionV>
                  <wp:extent cx="737870" cy="1094105"/>
                  <wp:effectExtent l="0" t="0" r="5080" b="10795"/>
                  <wp:wrapNone/>
                  <wp:docPr id="448" name="图片_35"/>
                  <wp:cNvGraphicFramePr/>
                  <a:graphic xmlns:a="http://schemas.openxmlformats.org/drawingml/2006/main">
                    <a:graphicData uri="http://schemas.openxmlformats.org/drawingml/2006/picture">
                      <pic:pic xmlns:pic="http://schemas.openxmlformats.org/drawingml/2006/picture">
                        <pic:nvPicPr>
                          <pic:cNvPr id="448" name="图片_35"/>
                          <pic:cNvPicPr/>
                        </pic:nvPicPr>
                        <pic:blipFill>
                          <a:blip r:embed="rId26"/>
                          <a:stretch>
                            <a:fillRect/>
                          </a:stretch>
                        </pic:blipFill>
                        <pic:spPr>
                          <a:xfrm>
                            <a:off x="0" y="0"/>
                            <a:ext cx="737870" cy="109410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不允许攀爬的危险地点，如 : 有坍塌危险的建筑物、构筑 物、设备旁作业现场的沟、坎、 坑等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91</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禁止入内</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543560</wp:posOffset>
                  </wp:positionH>
                  <wp:positionV relativeFrom="paragraph">
                    <wp:posOffset>368935</wp:posOffset>
                  </wp:positionV>
                  <wp:extent cx="874395" cy="1204595"/>
                  <wp:effectExtent l="0" t="0" r="1905" b="14605"/>
                  <wp:wrapNone/>
                  <wp:docPr id="437" name="图片_36"/>
                  <wp:cNvGraphicFramePr/>
                  <a:graphic xmlns:a="http://schemas.openxmlformats.org/drawingml/2006/main">
                    <a:graphicData uri="http://schemas.openxmlformats.org/drawingml/2006/picture">
                      <pic:pic xmlns:pic="http://schemas.openxmlformats.org/drawingml/2006/picture">
                        <pic:nvPicPr>
                          <pic:cNvPr id="437" name="图片_36"/>
                          <pic:cNvPicPr/>
                        </pic:nvPicPr>
                        <pic:blipFill>
                          <a:blip r:embed="rId27"/>
                          <a:stretch>
                            <a:fillRect/>
                          </a:stretch>
                        </pic:blipFill>
                        <pic:spPr>
                          <a:xfrm>
                            <a:off x="0" y="0"/>
                            <a:ext cx="874395" cy="120459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易造成事故或对人员有伤害 的场所 如 : 高压设备室、各 种污染源等人口处</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92</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禁止靠近</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560070</wp:posOffset>
                  </wp:positionH>
                  <wp:positionV relativeFrom="paragraph">
                    <wp:posOffset>115570</wp:posOffset>
                  </wp:positionV>
                  <wp:extent cx="807085" cy="1194435"/>
                  <wp:effectExtent l="0" t="0" r="12065" b="5715"/>
                  <wp:wrapNone/>
                  <wp:docPr id="438" name="图片_37"/>
                  <wp:cNvGraphicFramePr/>
                  <a:graphic xmlns:a="http://schemas.openxmlformats.org/drawingml/2006/main">
                    <a:graphicData uri="http://schemas.openxmlformats.org/drawingml/2006/picture">
                      <pic:pic xmlns:pic="http://schemas.openxmlformats.org/drawingml/2006/picture">
                        <pic:nvPicPr>
                          <pic:cNvPr id="438" name="图片_37"/>
                          <pic:cNvPicPr/>
                        </pic:nvPicPr>
                        <pic:blipFill>
                          <a:blip r:embed="rId28"/>
                          <a:stretch>
                            <a:fillRect/>
                          </a:stretch>
                        </pic:blipFill>
                        <pic:spPr>
                          <a:xfrm>
                            <a:off x="0" y="0"/>
                            <a:ext cx="807085" cy="119443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不允许靠近的危险区域，如 : 高压试验区、高压线、输变 电设备的附近</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93</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禁止翻阅</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546735</wp:posOffset>
                  </wp:positionH>
                  <wp:positionV relativeFrom="paragraph">
                    <wp:posOffset>115570</wp:posOffset>
                  </wp:positionV>
                  <wp:extent cx="838835" cy="1173480"/>
                  <wp:effectExtent l="0" t="0" r="18415" b="7620"/>
                  <wp:wrapNone/>
                  <wp:docPr id="440" name="图片_38"/>
                  <wp:cNvGraphicFramePr/>
                  <a:graphic xmlns:a="http://schemas.openxmlformats.org/drawingml/2006/main">
                    <a:graphicData uri="http://schemas.openxmlformats.org/drawingml/2006/picture">
                      <pic:pic xmlns:pic="http://schemas.openxmlformats.org/drawingml/2006/picture">
                        <pic:nvPicPr>
                          <pic:cNvPr id="440" name="图片_38"/>
                          <pic:cNvPicPr/>
                        </pic:nvPicPr>
                        <pic:blipFill>
                          <a:blip r:embed="rId29"/>
                          <a:stretch>
                            <a:fillRect/>
                          </a:stretch>
                        </pic:blipFill>
                        <pic:spPr>
                          <a:xfrm>
                            <a:off x="0" y="0"/>
                            <a:ext cx="838835" cy="117348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禁止翻越作业现场的沟、砍、 坑、围栏等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94</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禁止合闸</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546735</wp:posOffset>
                  </wp:positionH>
                  <wp:positionV relativeFrom="paragraph">
                    <wp:posOffset>89535</wp:posOffset>
                  </wp:positionV>
                  <wp:extent cx="812800" cy="1183640"/>
                  <wp:effectExtent l="0" t="0" r="6350" b="16510"/>
                  <wp:wrapNone/>
                  <wp:docPr id="435" name="图片_39"/>
                  <wp:cNvGraphicFramePr/>
                  <a:graphic xmlns:a="http://schemas.openxmlformats.org/drawingml/2006/main">
                    <a:graphicData uri="http://schemas.openxmlformats.org/drawingml/2006/picture">
                      <pic:pic xmlns:pic="http://schemas.openxmlformats.org/drawingml/2006/picture">
                        <pic:nvPicPr>
                          <pic:cNvPr id="435" name="图片_39"/>
                          <pic:cNvPicPr/>
                        </pic:nvPicPr>
                        <pic:blipFill>
                          <a:blip r:embed="rId30"/>
                          <a:stretch>
                            <a:fillRect/>
                          </a:stretch>
                        </pic:blipFill>
                        <pic:spPr>
                          <a:xfrm>
                            <a:off x="0" y="0"/>
                            <a:ext cx="812800" cy="118364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设备或线路检修时 , 相应开 关附近</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95</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禁止吸烟</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582930</wp:posOffset>
                  </wp:positionH>
                  <wp:positionV relativeFrom="paragraph">
                    <wp:posOffset>131445</wp:posOffset>
                  </wp:positionV>
                  <wp:extent cx="750570" cy="1136650"/>
                  <wp:effectExtent l="0" t="0" r="11430" b="6350"/>
                  <wp:wrapNone/>
                  <wp:docPr id="429" name="图片_40"/>
                  <wp:cNvGraphicFramePr/>
                  <a:graphic xmlns:a="http://schemas.openxmlformats.org/drawingml/2006/main">
                    <a:graphicData uri="http://schemas.openxmlformats.org/drawingml/2006/picture">
                      <pic:pic xmlns:pic="http://schemas.openxmlformats.org/drawingml/2006/picture">
                        <pic:nvPicPr>
                          <pic:cNvPr id="429" name="图片_40"/>
                          <pic:cNvPicPr/>
                        </pic:nvPicPr>
                        <pic:blipFill>
                          <a:blip r:embed="rId31"/>
                          <a:stretch>
                            <a:fillRect/>
                          </a:stretch>
                        </pic:blipFill>
                        <pic:spPr>
                          <a:xfrm>
                            <a:off x="0" y="0"/>
                            <a:ext cx="750570" cy="113665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有甲、乙、丙类火灾危险物 质的场所和禁止吸烟的公共 场所等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96</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禁止用水灭火</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572770</wp:posOffset>
                  </wp:positionH>
                  <wp:positionV relativeFrom="paragraph">
                    <wp:posOffset>179070</wp:posOffset>
                  </wp:positionV>
                  <wp:extent cx="721995" cy="1036320"/>
                  <wp:effectExtent l="0" t="0" r="1905" b="11430"/>
                  <wp:wrapNone/>
                  <wp:docPr id="420" name="图片_41"/>
                  <wp:cNvGraphicFramePr/>
                  <a:graphic xmlns:a="http://schemas.openxmlformats.org/drawingml/2006/main">
                    <a:graphicData uri="http://schemas.openxmlformats.org/drawingml/2006/picture">
                      <pic:pic xmlns:pic="http://schemas.openxmlformats.org/drawingml/2006/picture">
                        <pic:nvPicPr>
                          <pic:cNvPr id="420" name="图片_41"/>
                          <pic:cNvPicPr/>
                        </pic:nvPicPr>
                        <pic:blipFill>
                          <a:blip r:embed="rId32"/>
                          <a:stretch>
                            <a:fillRect/>
                          </a:stretch>
                        </pic:blipFill>
                        <pic:spPr>
                          <a:xfrm>
                            <a:off x="0" y="0"/>
                            <a:ext cx="721995" cy="103632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有甲类火灾危险物质及其他 禁止带火种的各种危险场所， 如 : 炼油厂、乙炔站、液化 石油气站、煤矿井内、林区、 草原等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97</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禁止类标牌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禁止垂钓</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534035</wp:posOffset>
                  </wp:positionH>
                  <wp:positionV relativeFrom="paragraph">
                    <wp:posOffset>99695</wp:posOffset>
                  </wp:positionV>
                  <wp:extent cx="825500" cy="1162685"/>
                  <wp:effectExtent l="0" t="0" r="12700" b="18415"/>
                  <wp:wrapNone/>
                  <wp:docPr id="427" name="图片_42"/>
                  <wp:cNvGraphicFramePr/>
                  <a:graphic xmlns:a="http://schemas.openxmlformats.org/drawingml/2006/main">
                    <a:graphicData uri="http://schemas.openxmlformats.org/drawingml/2006/picture">
                      <pic:pic xmlns:pic="http://schemas.openxmlformats.org/drawingml/2006/picture">
                        <pic:nvPicPr>
                          <pic:cNvPr id="427" name="图片_42"/>
                          <pic:cNvPicPr/>
                        </pic:nvPicPr>
                        <pic:blipFill>
                          <a:blip r:embed="rId33"/>
                          <a:stretch>
                            <a:fillRect/>
                          </a:stretch>
                        </pic:blipFill>
                        <pic:spPr>
                          <a:xfrm>
                            <a:off x="0" y="0"/>
                            <a:ext cx="825500" cy="116268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禁捕水域和禁钓范围里</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98</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警告类标牌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注意安全</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601345</wp:posOffset>
                  </wp:positionH>
                  <wp:positionV relativeFrom="paragraph">
                    <wp:posOffset>89535</wp:posOffset>
                  </wp:positionV>
                  <wp:extent cx="665480" cy="946785"/>
                  <wp:effectExtent l="0" t="0" r="1270" b="5715"/>
                  <wp:wrapNone/>
                  <wp:docPr id="421" name="图片_10"/>
                  <wp:cNvGraphicFramePr/>
                  <a:graphic xmlns:a="http://schemas.openxmlformats.org/drawingml/2006/main">
                    <a:graphicData uri="http://schemas.openxmlformats.org/drawingml/2006/picture">
                      <pic:pic xmlns:pic="http://schemas.openxmlformats.org/drawingml/2006/picture">
                        <pic:nvPicPr>
                          <pic:cNvPr id="421" name="图片_10"/>
                          <pic:cNvPicPr/>
                        </pic:nvPicPr>
                        <pic:blipFill>
                          <a:blip r:embed="rId34"/>
                          <a:stretch>
                            <a:fillRect/>
                          </a:stretch>
                        </pic:blipFill>
                        <pic:spPr>
                          <a:xfrm>
                            <a:off x="0" y="0"/>
                            <a:ext cx="665480" cy="94678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易造成人员伤害的场所及设备</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99</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警告类标牌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当心塌方</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534035</wp:posOffset>
                  </wp:positionH>
                  <wp:positionV relativeFrom="paragraph">
                    <wp:posOffset>152400</wp:posOffset>
                  </wp:positionV>
                  <wp:extent cx="735330" cy="1042035"/>
                  <wp:effectExtent l="0" t="0" r="7620" b="5715"/>
                  <wp:wrapNone/>
                  <wp:docPr id="422" name="图片_43"/>
                  <wp:cNvGraphicFramePr/>
                  <a:graphic xmlns:a="http://schemas.openxmlformats.org/drawingml/2006/main">
                    <a:graphicData uri="http://schemas.openxmlformats.org/drawingml/2006/picture">
                      <pic:pic xmlns:pic="http://schemas.openxmlformats.org/drawingml/2006/picture">
                        <pic:nvPicPr>
                          <pic:cNvPr id="422" name="图片_43"/>
                          <pic:cNvPicPr/>
                        </pic:nvPicPr>
                        <pic:blipFill>
                          <a:blip r:embed="rId35"/>
                          <a:stretch>
                            <a:fillRect/>
                          </a:stretch>
                        </pic:blipFill>
                        <pic:spPr>
                          <a:xfrm>
                            <a:off x="0" y="0"/>
                            <a:ext cx="735330" cy="104203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有塌方危险的地段、地区， 如：堤坝及土方作业的深坑、 深槽等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100</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警告类标牌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当心落水</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511810</wp:posOffset>
                  </wp:positionH>
                  <wp:positionV relativeFrom="paragraph">
                    <wp:posOffset>314325</wp:posOffset>
                  </wp:positionV>
                  <wp:extent cx="748030" cy="1057910"/>
                  <wp:effectExtent l="0" t="0" r="13970" b="8890"/>
                  <wp:wrapNone/>
                  <wp:docPr id="424" name="图片_44"/>
                  <wp:cNvGraphicFramePr/>
                  <a:graphic xmlns:a="http://schemas.openxmlformats.org/drawingml/2006/main">
                    <a:graphicData uri="http://schemas.openxmlformats.org/drawingml/2006/picture">
                      <pic:pic xmlns:pic="http://schemas.openxmlformats.org/drawingml/2006/picture">
                        <pic:nvPicPr>
                          <pic:cNvPr id="424" name="图片_44"/>
                          <pic:cNvPicPr/>
                        </pic:nvPicPr>
                        <pic:blipFill>
                          <a:blip r:embed="rId90"/>
                          <a:stretch>
                            <a:fillRect/>
                          </a:stretch>
                        </pic:blipFill>
                        <pic:spPr>
                          <a:xfrm>
                            <a:off x="0" y="0"/>
                            <a:ext cx="748030" cy="105791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落水后可能产生淹溺的场所 或部位，如城市河流、消防水池等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101</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警告类标牌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当心触电</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551815</wp:posOffset>
                  </wp:positionH>
                  <wp:positionV relativeFrom="paragraph">
                    <wp:posOffset>126365</wp:posOffset>
                  </wp:positionV>
                  <wp:extent cx="740410" cy="1073150"/>
                  <wp:effectExtent l="0" t="0" r="2540" b="12700"/>
                  <wp:wrapNone/>
                  <wp:docPr id="441" name="图片_11"/>
                  <wp:cNvGraphicFramePr/>
                  <a:graphic xmlns:a="http://schemas.openxmlformats.org/drawingml/2006/main">
                    <a:graphicData uri="http://schemas.openxmlformats.org/drawingml/2006/picture">
                      <pic:pic xmlns:pic="http://schemas.openxmlformats.org/drawingml/2006/picture">
                        <pic:nvPicPr>
                          <pic:cNvPr id="441" name="图片_11"/>
                          <pic:cNvPicPr/>
                        </pic:nvPicPr>
                        <pic:blipFill>
                          <a:blip r:embed="rId91"/>
                          <a:stretch>
                            <a:fillRect/>
                          </a:stretch>
                        </pic:blipFill>
                        <pic:spPr>
                          <a:xfrm>
                            <a:off x="0" y="0"/>
                            <a:ext cx="740410" cy="107315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有可能发生触电危险的电器 设备和线路，如 : 配电室、开关等</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3mmPVC塑料板</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长宽比：3:2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102</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职业健康告知牌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52705</wp:posOffset>
                  </wp:positionV>
                  <wp:extent cx="1838960" cy="1257300"/>
                  <wp:effectExtent l="0" t="0" r="8890" b="0"/>
                  <wp:wrapNone/>
                  <wp:docPr id="423" name="图片_45"/>
                  <wp:cNvGraphicFramePr/>
                  <a:graphic xmlns:a="http://schemas.openxmlformats.org/drawingml/2006/main">
                    <a:graphicData uri="http://schemas.openxmlformats.org/drawingml/2006/picture">
                      <pic:pic xmlns:pic="http://schemas.openxmlformats.org/drawingml/2006/picture">
                        <pic:nvPicPr>
                          <pic:cNvPr id="423" name="图片_45"/>
                          <pic:cNvPicPr/>
                        </pic:nvPicPr>
                        <pic:blipFill>
                          <a:blip r:embed="rId92"/>
                          <a:stretch>
                            <a:fillRect/>
                          </a:stretch>
                        </pic:blipFill>
                        <pic:spPr>
                          <a:xfrm>
                            <a:off x="0" y="0"/>
                            <a:ext cx="1838960" cy="125730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安装在电厂管理房及中控室等醒目的位置。</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5MM 亚克力背喷，铝合金型材 +PVC 胶片 UV 打印</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400*600mm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103</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区域提示牌</w:t>
            </w:r>
            <w:r>
              <w:rPr>
                <w:rFonts w:hint="eastAsia" w:ascii="宋体" w:hAnsi="宋体" w:eastAsia="宋体" w:cs="宋体"/>
                <w:i w:val="0"/>
                <w:iCs w:val="0"/>
                <w:color w:val="000000"/>
                <w:kern w:val="0"/>
                <w:sz w:val="32"/>
                <w:szCs w:val="32"/>
                <w:u w:val="none"/>
                <w:lang w:val="en-US" w:eastAsia="zh-CN" w:bidi="ar"/>
              </w:rPr>
              <w:br w:type="textWrapping"/>
            </w:r>
            <w:r>
              <w:rPr>
                <w:rFonts w:hint="eastAsia" w:ascii="宋体" w:hAnsi="宋体" w:eastAsia="宋体" w:cs="宋体"/>
                <w:i w:val="0"/>
                <w:iCs w:val="0"/>
                <w:color w:val="000000"/>
                <w:kern w:val="0"/>
                <w:sz w:val="32"/>
                <w:szCs w:val="32"/>
                <w:u w:val="none"/>
                <w:lang w:val="en-US" w:eastAsia="zh-CN" w:bidi="ar"/>
              </w:rPr>
              <w:t>中控室</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52705</wp:posOffset>
                  </wp:positionV>
                  <wp:extent cx="1790700" cy="1257300"/>
                  <wp:effectExtent l="0" t="0" r="0" b="0"/>
                  <wp:wrapNone/>
                  <wp:docPr id="430" name="图片_46"/>
                  <wp:cNvGraphicFramePr/>
                  <a:graphic xmlns:a="http://schemas.openxmlformats.org/drawingml/2006/main">
                    <a:graphicData uri="http://schemas.openxmlformats.org/drawingml/2006/picture">
                      <pic:pic xmlns:pic="http://schemas.openxmlformats.org/drawingml/2006/picture">
                        <pic:nvPicPr>
                          <pic:cNvPr id="430" name="图片_46"/>
                          <pic:cNvPicPr/>
                        </pic:nvPicPr>
                        <pic:blipFill>
                          <a:blip r:embed="rId93"/>
                          <a:stretch>
                            <a:fillRect/>
                          </a:stretch>
                        </pic:blipFill>
                        <pic:spPr>
                          <a:xfrm>
                            <a:off x="0" y="0"/>
                            <a:ext cx="1790700" cy="125730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安装在中控室门口</w:t>
            </w: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5MM 亚克力背喷，铝合金型材 +PVC 胶片 UV 打印</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500*350mm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104</w:t>
            </w:r>
          </w:p>
        </w:tc>
        <w:tc>
          <w:tcPr>
            <w:tcW w:w="1052"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防洪通道禁止通行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446405</wp:posOffset>
                  </wp:positionH>
                  <wp:positionV relativeFrom="paragraph">
                    <wp:posOffset>121920</wp:posOffset>
                  </wp:positionV>
                  <wp:extent cx="967105" cy="1057275"/>
                  <wp:effectExtent l="0" t="0" r="4445" b="9525"/>
                  <wp:wrapNone/>
                  <wp:docPr id="436" name="图片_97"/>
                  <wp:cNvGraphicFramePr/>
                  <a:graphic xmlns:a="http://schemas.openxmlformats.org/drawingml/2006/main">
                    <a:graphicData uri="http://schemas.openxmlformats.org/drawingml/2006/picture">
                      <pic:pic xmlns:pic="http://schemas.openxmlformats.org/drawingml/2006/picture">
                        <pic:nvPicPr>
                          <pic:cNvPr id="436" name="图片_97"/>
                          <pic:cNvPicPr/>
                        </pic:nvPicPr>
                        <pic:blipFill>
                          <a:blip r:embed="rId94"/>
                          <a:stretch>
                            <a:fillRect/>
                          </a:stretch>
                        </pic:blipFill>
                        <pic:spPr>
                          <a:xfrm>
                            <a:off x="0" y="0"/>
                            <a:ext cx="967105" cy="105727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2mm 铝板 + 工程膜 + 镀锌圆管固定</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740*1110mm</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105</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新增标识标牌</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堰坝、导水埂桩号铭牌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621665</wp:posOffset>
                  </wp:positionH>
                  <wp:positionV relativeFrom="paragraph">
                    <wp:posOffset>48895</wp:posOffset>
                  </wp:positionV>
                  <wp:extent cx="691515" cy="1294130"/>
                  <wp:effectExtent l="0" t="0" r="13335" b="1270"/>
                  <wp:wrapNone/>
                  <wp:docPr id="439" name="图片_92"/>
                  <wp:cNvGraphicFramePr/>
                  <a:graphic xmlns:a="http://schemas.openxmlformats.org/drawingml/2006/main">
                    <a:graphicData uri="http://schemas.openxmlformats.org/drawingml/2006/picture">
                      <pic:pic xmlns:pic="http://schemas.openxmlformats.org/drawingml/2006/picture">
                        <pic:nvPicPr>
                          <pic:cNvPr id="439" name="图片_92"/>
                          <pic:cNvPicPr/>
                        </pic:nvPicPr>
                        <pic:blipFill>
                          <a:blip r:embed="rId95"/>
                          <a:stretch>
                            <a:fillRect/>
                          </a:stretch>
                        </pic:blipFill>
                        <pic:spPr>
                          <a:xfrm>
                            <a:off x="0" y="0"/>
                            <a:ext cx="691515" cy="129413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 铝板 + 工程膜 + 镀锌圆管固定</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32"/>
                <w:szCs w:val="32"/>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106</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跌水</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107315</wp:posOffset>
                  </wp:positionH>
                  <wp:positionV relativeFrom="paragraph">
                    <wp:posOffset>229235</wp:posOffset>
                  </wp:positionV>
                  <wp:extent cx="1715770" cy="935355"/>
                  <wp:effectExtent l="0" t="0" r="17780" b="17145"/>
                  <wp:wrapNone/>
                  <wp:docPr id="442" name="图片_93"/>
                  <wp:cNvGraphicFramePr/>
                  <a:graphic xmlns:a="http://schemas.openxmlformats.org/drawingml/2006/main">
                    <a:graphicData uri="http://schemas.openxmlformats.org/drawingml/2006/picture">
                      <pic:pic xmlns:pic="http://schemas.openxmlformats.org/drawingml/2006/picture">
                        <pic:nvPicPr>
                          <pic:cNvPr id="442" name="图片_93"/>
                          <pic:cNvPicPr/>
                        </pic:nvPicPr>
                        <pic:blipFill>
                          <a:blip r:embed="rId96"/>
                          <a:stretch>
                            <a:fillRect/>
                          </a:stretch>
                        </pic:blipFill>
                        <pic:spPr>
                          <a:xfrm>
                            <a:off x="0" y="0"/>
                            <a:ext cx="1715770" cy="93535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亚克力烤漆</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130*300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107</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放水洞标识</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554355</wp:posOffset>
                  </wp:positionH>
                  <wp:positionV relativeFrom="paragraph">
                    <wp:posOffset>41910</wp:posOffset>
                  </wp:positionV>
                  <wp:extent cx="637540" cy="1247140"/>
                  <wp:effectExtent l="0" t="0" r="10160" b="10160"/>
                  <wp:wrapNone/>
                  <wp:docPr id="443" name="图片_91"/>
                  <wp:cNvGraphicFramePr/>
                  <a:graphic xmlns:a="http://schemas.openxmlformats.org/drawingml/2006/main">
                    <a:graphicData uri="http://schemas.openxmlformats.org/drawingml/2006/picture">
                      <pic:pic xmlns:pic="http://schemas.openxmlformats.org/drawingml/2006/picture">
                        <pic:nvPicPr>
                          <pic:cNvPr id="443" name="图片_91"/>
                          <pic:cNvPicPr/>
                        </pic:nvPicPr>
                        <pic:blipFill>
                          <a:blip r:embed="rId97"/>
                          <a:stretch>
                            <a:fillRect/>
                          </a:stretch>
                        </pic:blipFill>
                        <pic:spPr>
                          <a:xfrm>
                            <a:off x="0" y="0"/>
                            <a:ext cx="637540" cy="124714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2mm 铝板 + 工程膜 + 镀锌圆管固定</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1000*1870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108</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防汛物资标识牌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347345</wp:posOffset>
                  </wp:positionV>
                  <wp:extent cx="1550670" cy="679450"/>
                  <wp:effectExtent l="0" t="0" r="11430" b="6350"/>
                  <wp:wrapNone/>
                  <wp:docPr id="458" name="图片_94"/>
                  <wp:cNvGraphicFramePr/>
                  <a:graphic xmlns:a="http://schemas.openxmlformats.org/drawingml/2006/main">
                    <a:graphicData uri="http://schemas.openxmlformats.org/drawingml/2006/picture">
                      <pic:pic xmlns:pic="http://schemas.openxmlformats.org/drawingml/2006/picture">
                        <pic:nvPicPr>
                          <pic:cNvPr id="458" name="图片_94"/>
                          <pic:cNvPicPr/>
                        </pic:nvPicPr>
                        <pic:blipFill>
                          <a:blip r:embed="rId98"/>
                          <a:stretch>
                            <a:fillRect/>
                          </a:stretch>
                        </pic:blipFill>
                        <pic:spPr>
                          <a:xfrm>
                            <a:off x="0" y="0"/>
                            <a:ext cx="1550670" cy="67945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亚克力烤漆</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40*120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109</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泄洪闸/支渠闸/分水洞桩号铭牌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582930</wp:posOffset>
                  </wp:positionH>
                  <wp:positionV relativeFrom="paragraph">
                    <wp:posOffset>41910</wp:posOffset>
                  </wp:positionV>
                  <wp:extent cx="923925" cy="1252220"/>
                  <wp:effectExtent l="0" t="0" r="9525" b="5080"/>
                  <wp:wrapNone/>
                  <wp:docPr id="453" name="图片_90"/>
                  <wp:cNvGraphicFramePr/>
                  <a:graphic xmlns:a="http://schemas.openxmlformats.org/drawingml/2006/main">
                    <a:graphicData uri="http://schemas.openxmlformats.org/drawingml/2006/picture">
                      <pic:pic xmlns:pic="http://schemas.openxmlformats.org/drawingml/2006/picture">
                        <pic:nvPicPr>
                          <pic:cNvPr id="453" name="图片_90"/>
                          <pic:cNvPicPr/>
                        </pic:nvPicPr>
                        <pic:blipFill>
                          <a:blip r:embed="rId99"/>
                          <a:stretch>
                            <a:fillRect/>
                          </a:stretch>
                        </pic:blipFill>
                        <pic:spPr>
                          <a:xfrm>
                            <a:off x="0" y="0"/>
                            <a:ext cx="923925" cy="125222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2mm 铝板 + 工程膜 + 镀锌圆管固定</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1000*1870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110</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户外安全警示牌</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617220</wp:posOffset>
                  </wp:positionH>
                  <wp:positionV relativeFrom="paragraph">
                    <wp:posOffset>88900</wp:posOffset>
                  </wp:positionV>
                  <wp:extent cx="822960" cy="1188720"/>
                  <wp:effectExtent l="0" t="0" r="15240" b="11430"/>
                  <wp:wrapNone/>
                  <wp:docPr id="454" name="图片_95"/>
                  <wp:cNvGraphicFramePr/>
                  <a:graphic xmlns:a="http://schemas.openxmlformats.org/drawingml/2006/main">
                    <a:graphicData uri="http://schemas.openxmlformats.org/drawingml/2006/picture">
                      <pic:pic xmlns:pic="http://schemas.openxmlformats.org/drawingml/2006/picture">
                        <pic:nvPicPr>
                          <pic:cNvPr id="454" name="图片_95"/>
                          <pic:cNvPicPr/>
                        </pic:nvPicPr>
                        <pic:blipFill>
                          <a:blip r:embed="rId100"/>
                          <a:stretch>
                            <a:fillRect/>
                          </a:stretch>
                        </pic:blipFill>
                        <pic:spPr>
                          <a:xfrm>
                            <a:off x="0" y="0"/>
                            <a:ext cx="822960" cy="118872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3mm 铝板 + 工程膜 + 镀锌圆管固定</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1700*1871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1052" w:type="dxa"/>
            <w:vMerge w:val="restart"/>
            <w:tcBorders>
              <w:top w:val="nil"/>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新增标识标牌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人民渠渠首简介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-1448435</wp:posOffset>
                  </wp:positionH>
                  <wp:positionV relativeFrom="paragraph">
                    <wp:posOffset>214630</wp:posOffset>
                  </wp:positionV>
                  <wp:extent cx="1050290" cy="1031240"/>
                  <wp:effectExtent l="0" t="0" r="16510" b="16510"/>
                  <wp:wrapNone/>
                  <wp:docPr id="452" name="图片_96"/>
                  <wp:cNvGraphicFramePr/>
                  <a:graphic xmlns:a="http://schemas.openxmlformats.org/drawingml/2006/main">
                    <a:graphicData uri="http://schemas.openxmlformats.org/drawingml/2006/picture">
                      <pic:pic xmlns:pic="http://schemas.openxmlformats.org/drawingml/2006/picture">
                        <pic:nvPicPr>
                          <pic:cNvPr id="452" name="图片_96"/>
                          <pic:cNvPicPr/>
                        </pic:nvPicPr>
                        <pic:blipFill>
                          <a:blip r:embed="rId101"/>
                          <a:stretch>
                            <a:fillRect/>
                          </a:stretch>
                        </pic:blipFill>
                        <pic:spPr>
                          <a:xfrm>
                            <a:off x="0" y="0"/>
                            <a:ext cx="1050290" cy="1031240"/>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ascii="Source Han Sans CN" w:hAnsi="Source Han Sans CN" w:eastAsia="Source Han Sans CN" w:cs="Source Han Sans CN"/>
                <w:i w:val="0"/>
                <w:iCs w:val="0"/>
                <w:color w:val="231F20"/>
                <w:sz w:val="32"/>
                <w:szCs w:val="32"/>
                <w:u w:val="none"/>
              </w:rPr>
            </w:pPr>
            <w:r>
              <w:rPr>
                <w:rFonts w:hint="default" w:ascii="Source Han Sans CN" w:hAnsi="Source Han Sans CN" w:eastAsia="Source Han Sans CN" w:cs="Source Han Sans CN"/>
                <w:i w:val="0"/>
                <w:iCs w:val="0"/>
                <w:color w:val="231F20"/>
                <w:kern w:val="0"/>
                <w:sz w:val="32"/>
                <w:szCs w:val="32"/>
                <w:u w:val="none"/>
                <w:lang w:val="en-US" w:eastAsia="zh-CN" w:bidi="ar"/>
              </w:rPr>
              <w:t>1200x2000</w:t>
            </w:r>
          </w:p>
        </w:tc>
        <w:tc>
          <w:tcPr>
            <w:tcW w:w="89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1052" w:type="dxa"/>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人民渠渠首简介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-1442720</wp:posOffset>
                  </wp:positionH>
                  <wp:positionV relativeFrom="paragraph">
                    <wp:posOffset>252730</wp:posOffset>
                  </wp:positionV>
                  <wp:extent cx="993775" cy="983615"/>
                  <wp:effectExtent l="0" t="0" r="15875" b="6985"/>
                  <wp:wrapNone/>
                  <wp:docPr id="455" name="图片_112"/>
                  <wp:cNvGraphicFramePr/>
                  <a:graphic xmlns:a="http://schemas.openxmlformats.org/drawingml/2006/main">
                    <a:graphicData uri="http://schemas.openxmlformats.org/drawingml/2006/picture">
                      <pic:pic xmlns:pic="http://schemas.openxmlformats.org/drawingml/2006/picture">
                        <pic:nvPicPr>
                          <pic:cNvPr id="455" name="图片_112"/>
                          <pic:cNvPicPr/>
                        </pic:nvPicPr>
                        <pic:blipFill>
                          <a:blip r:embed="rId102"/>
                          <a:stretch>
                            <a:fillRect/>
                          </a:stretch>
                        </pic:blipFill>
                        <pic:spPr>
                          <a:xfrm>
                            <a:off x="0" y="0"/>
                            <a:ext cx="993775" cy="98361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Source Han Sans CN" w:hAnsi="Source Han Sans CN" w:eastAsia="Source Han Sans CN" w:cs="Source Han Sans CN"/>
                <w:i w:val="0"/>
                <w:iCs w:val="0"/>
                <w:color w:val="231F20"/>
                <w:sz w:val="32"/>
                <w:szCs w:val="32"/>
                <w:u w:val="none"/>
              </w:rPr>
            </w:pPr>
            <w:r>
              <w:rPr>
                <w:rFonts w:hint="default" w:ascii="Source Han Sans CN" w:hAnsi="Source Han Sans CN" w:eastAsia="Source Han Sans CN" w:cs="Source Han Sans CN"/>
                <w:i w:val="0"/>
                <w:iCs w:val="0"/>
                <w:color w:val="231F20"/>
                <w:kern w:val="0"/>
                <w:sz w:val="32"/>
                <w:szCs w:val="32"/>
                <w:u w:val="none"/>
                <w:lang w:val="en-US" w:eastAsia="zh-CN" w:bidi="ar"/>
              </w:rPr>
              <w:t>1200x2000</w:t>
            </w:r>
          </w:p>
        </w:tc>
        <w:tc>
          <w:tcPr>
            <w:tcW w:w="89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1" w:hRule="atLeast"/>
          <w:jc w:val="center"/>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1052" w:type="dxa"/>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应急预案更换画面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-1757680</wp:posOffset>
                  </wp:positionH>
                  <wp:positionV relativeFrom="paragraph">
                    <wp:posOffset>144780</wp:posOffset>
                  </wp:positionV>
                  <wp:extent cx="1602105" cy="1125855"/>
                  <wp:effectExtent l="0" t="0" r="17145" b="17145"/>
                  <wp:wrapNone/>
                  <wp:docPr id="456" name="图片_113"/>
                  <wp:cNvGraphicFramePr/>
                  <a:graphic xmlns:a="http://schemas.openxmlformats.org/drawingml/2006/main">
                    <a:graphicData uri="http://schemas.openxmlformats.org/drawingml/2006/picture">
                      <pic:pic xmlns:pic="http://schemas.openxmlformats.org/drawingml/2006/picture">
                        <pic:nvPicPr>
                          <pic:cNvPr id="456" name="图片_113"/>
                          <pic:cNvPicPr/>
                        </pic:nvPicPr>
                        <pic:blipFill>
                          <a:blip r:embed="rId103"/>
                          <a:stretch>
                            <a:fillRect/>
                          </a:stretch>
                        </pic:blipFill>
                        <pic:spPr>
                          <a:xfrm>
                            <a:off x="0" y="0"/>
                            <a:ext cx="1602105" cy="112585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ascii="思源黑体 CN Normal" w:hAnsi="思源黑体 CN Normal" w:eastAsia="思源黑体 CN Normal" w:cs="思源黑体 CN Normal"/>
                <w:i w:val="0"/>
                <w:iCs w:val="0"/>
                <w:color w:val="231F20"/>
                <w:sz w:val="32"/>
                <w:szCs w:val="32"/>
                <w:u w:val="none"/>
              </w:rPr>
            </w:pPr>
            <w:r>
              <w:rPr>
                <w:rFonts w:hint="default" w:ascii="思源黑体 CN Normal" w:hAnsi="思源黑体 CN Normal" w:eastAsia="思源黑体 CN Normal" w:cs="思源黑体 CN Normal"/>
                <w:i w:val="0"/>
                <w:iCs w:val="0"/>
                <w:color w:val="231F20"/>
                <w:kern w:val="0"/>
                <w:sz w:val="32"/>
                <w:szCs w:val="32"/>
                <w:u w:val="none"/>
                <w:lang w:val="en-US" w:eastAsia="zh-CN" w:bidi="ar"/>
              </w:rPr>
              <w:t>1000x700</w:t>
            </w:r>
          </w:p>
        </w:tc>
        <w:tc>
          <w:tcPr>
            <w:tcW w:w="89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jc w:val="center"/>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1052" w:type="dxa"/>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本日值班人员牌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-1853565</wp:posOffset>
                  </wp:positionH>
                  <wp:positionV relativeFrom="paragraph">
                    <wp:posOffset>86995</wp:posOffset>
                  </wp:positionV>
                  <wp:extent cx="1668780" cy="1181735"/>
                  <wp:effectExtent l="0" t="0" r="7620" b="18415"/>
                  <wp:wrapNone/>
                  <wp:docPr id="457" name="图片_114"/>
                  <wp:cNvGraphicFramePr/>
                  <a:graphic xmlns:a="http://schemas.openxmlformats.org/drawingml/2006/main">
                    <a:graphicData uri="http://schemas.openxmlformats.org/drawingml/2006/picture">
                      <pic:pic xmlns:pic="http://schemas.openxmlformats.org/drawingml/2006/picture">
                        <pic:nvPicPr>
                          <pic:cNvPr id="457" name="图片_114"/>
                          <pic:cNvPicPr/>
                        </pic:nvPicPr>
                        <pic:blipFill>
                          <a:blip r:embed="rId104"/>
                          <a:stretch>
                            <a:fillRect/>
                          </a:stretch>
                        </pic:blipFill>
                        <pic:spPr>
                          <a:xfrm>
                            <a:off x="0" y="0"/>
                            <a:ext cx="1668780" cy="1181735"/>
                          </a:xfrm>
                          <a:prstGeom prst="rect">
                            <a:avLst/>
                          </a:prstGeom>
                          <a:noFill/>
                          <a:ln>
                            <a:noFill/>
                          </a:ln>
                        </pic:spPr>
                      </pic:pic>
                    </a:graphicData>
                  </a:graphic>
                </wp:anchor>
              </w:drawing>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Normal" w:hAnsi="思源黑体 CN Normal" w:eastAsia="思源黑体 CN Normal" w:cs="思源黑体 CN Normal"/>
                <w:i w:val="0"/>
                <w:iCs w:val="0"/>
                <w:color w:val="231F20"/>
                <w:sz w:val="32"/>
                <w:szCs w:val="32"/>
                <w:u w:val="none"/>
              </w:rPr>
            </w:pPr>
            <w:r>
              <w:rPr>
                <w:rFonts w:hint="default" w:ascii="思源黑体 CN Normal" w:hAnsi="思源黑体 CN Normal" w:eastAsia="思源黑体 CN Normal" w:cs="思源黑体 CN Normal"/>
                <w:i w:val="0"/>
                <w:iCs w:val="0"/>
                <w:color w:val="231F20"/>
                <w:kern w:val="0"/>
                <w:sz w:val="32"/>
                <w:szCs w:val="32"/>
                <w:u w:val="none"/>
                <w:lang w:val="en-US" w:eastAsia="zh-CN" w:bidi="ar"/>
              </w:rPr>
              <w:t>400x600</w:t>
            </w:r>
          </w:p>
        </w:tc>
        <w:tc>
          <w:tcPr>
            <w:tcW w:w="89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1" w:hRule="atLeast"/>
          <w:jc w:val="center"/>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1052" w:type="dxa"/>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标语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hint="eastAsia" w:ascii="宋体" w:hAnsi="宋体" w:eastAsia="宋体" w:cs="宋体"/>
                <w:b/>
                <w:bCs/>
                <w:i w:val="0"/>
                <w:iCs w:val="0"/>
                <w:color w:val="000000"/>
                <w:sz w:val="32"/>
                <w:szCs w:val="32"/>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布副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Normal" w:hAnsi="思源黑体 CN Normal" w:eastAsia="思源黑体 CN Normal" w:cs="思源黑体 CN Normal"/>
                <w:i w:val="0"/>
                <w:iCs w:val="0"/>
                <w:color w:val="231F20"/>
                <w:sz w:val="32"/>
                <w:szCs w:val="32"/>
                <w:u w:val="none"/>
              </w:rPr>
            </w:pPr>
            <w:r>
              <w:rPr>
                <w:rFonts w:hint="default" w:ascii="思源黑体 CN Normal" w:hAnsi="思源黑体 CN Normal" w:eastAsia="思源黑体 CN Normal" w:cs="思源黑体 CN Normal"/>
                <w:i w:val="0"/>
                <w:iCs w:val="0"/>
                <w:color w:val="231F20"/>
                <w:kern w:val="0"/>
                <w:sz w:val="32"/>
                <w:szCs w:val="32"/>
                <w:u w:val="none"/>
                <w:lang w:val="en-US" w:eastAsia="zh-CN" w:bidi="ar"/>
              </w:rPr>
              <w:t>5mx0.7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1052" w:type="dxa"/>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展示牌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hint="eastAsia" w:ascii="宋体" w:hAnsi="宋体" w:eastAsia="宋体" w:cs="宋体"/>
                <w:b/>
                <w:bCs/>
                <w:i w:val="0"/>
                <w:iCs w:val="0"/>
                <w:color w:val="000000"/>
                <w:sz w:val="32"/>
                <w:szCs w:val="32"/>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铝合金钢架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思源黑体 CN Normal" w:hAnsi="思源黑体 CN Normal" w:eastAsia="思源黑体 CN Normal" w:cs="思源黑体 CN Normal"/>
                <w:i w:val="0"/>
                <w:iCs w:val="0"/>
                <w:color w:val="231F20"/>
                <w:sz w:val="32"/>
                <w:szCs w:val="32"/>
                <w:u w:val="none"/>
              </w:rPr>
            </w:pPr>
            <w:r>
              <w:rPr>
                <w:rFonts w:hint="default" w:ascii="思源黑体 CN Normal" w:hAnsi="思源黑体 CN Normal" w:eastAsia="思源黑体 CN Normal" w:cs="思源黑体 CN Normal"/>
                <w:i w:val="0"/>
                <w:iCs w:val="0"/>
                <w:color w:val="231F20"/>
                <w:kern w:val="0"/>
                <w:sz w:val="32"/>
                <w:szCs w:val="32"/>
                <w:u w:val="none"/>
                <w:lang w:val="en-US" w:eastAsia="zh-CN" w:bidi="ar"/>
              </w:rPr>
              <w:t>2400x1500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1052" w:type="dxa"/>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展示牌板画面</w:t>
            </w:r>
          </w:p>
        </w:tc>
        <w:tc>
          <w:tcPr>
            <w:tcW w:w="3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2"/>
                <w:szCs w:val="32"/>
                <w:u w:val="none"/>
              </w:rPr>
            </w:pPr>
          </w:p>
        </w:tc>
        <w:tc>
          <w:tcPr>
            <w:tcW w:w="3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pvc加户外高精uv画</w:t>
            </w:r>
          </w:p>
        </w:tc>
        <w:tc>
          <w:tcPr>
            <w:tcW w:w="2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2400x1500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36"/>
                <w:szCs w:val="36"/>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8"/>
                <w:szCs w:val="28"/>
                <w:u w:val="none"/>
              </w:rPr>
            </w:pPr>
          </w:p>
        </w:tc>
        <w:tc>
          <w:tcPr>
            <w:tcW w:w="1052" w:type="dxa"/>
            <w:tcBorders>
              <w:top w:val="nil"/>
              <w:left w:val="single" w:color="000000" w:sz="4" w:space="0"/>
              <w:bottom w:val="single" w:color="000000" w:sz="4" w:space="0"/>
              <w:right w:val="single" w:color="000000" w:sz="4" w:space="0"/>
            </w:tcBorders>
            <w:shd w:val="clear" w:color="auto" w:fill="auto"/>
            <w:textDirection w:val="tbRlV"/>
            <w:vAlign w:val="center"/>
          </w:tcPr>
          <w:p>
            <w:pPr>
              <w:rPr>
                <w:rFonts w:hint="eastAsia" w:ascii="宋体" w:hAnsi="宋体" w:eastAsia="宋体" w:cs="宋体"/>
                <w:b/>
                <w:bCs/>
                <w:i w:val="0"/>
                <w:iCs w:val="0"/>
                <w:color w:val="000000"/>
                <w:sz w:val="32"/>
                <w:szCs w:val="32"/>
                <w:u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28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合计</w:t>
            </w: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40"/>
                <w:szCs w:val="4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40"/>
                <w:szCs w:val="40"/>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40"/>
                <w:szCs w:val="40"/>
                <w:u w:val="none"/>
              </w:rPr>
            </w:pPr>
          </w:p>
        </w:tc>
      </w:tr>
    </w:tbl>
    <w:p>
      <w:pPr>
        <w:rPr>
          <w:rFonts w:hint="eastAsia"/>
          <w:lang w:val="en-US" w:eastAsia="zh-CN"/>
        </w:rPr>
        <w:sectPr>
          <w:pgSz w:w="23811" w:h="16838" w:orient="landscape"/>
          <w:pgMar w:top="1800" w:right="1440" w:bottom="1800" w:left="1440" w:header="851" w:footer="992" w:gutter="0"/>
          <w:pgBorders>
            <w:top w:val="none" w:sz="0" w:space="0"/>
            <w:left w:val="none" w:sz="0" w:space="0"/>
            <w:bottom w:val="none" w:sz="0" w:space="0"/>
            <w:right w:val="none" w:sz="0" w:space="0"/>
          </w:pgBorders>
          <w:pgNumType w:fmt="decimal" w:start="1"/>
          <w:cols w:space="0" w:num="1"/>
          <w:docGrid w:type="lines" w:linePitch="312" w:charSpace="0"/>
        </w:sectPr>
      </w:pPr>
    </w:p>
    <w:p>
      <w:pPr>
        <w:pStyle w:val="17"/>
        <w:rPr>
          <w:rFonts w:hint="eastAsia"/>
          <w:lang w:val="en-US" w:eastAsia="zh-CN"/>
        </w:rPr>
      </w:pPr>
    </w:p>
    <w:p>
      <w:pPr>
        <w:spacing w:line="560" w:lineRule="exact"/>
        <w:ind w:firstLine="643"/>
        <w:rPr>
          <w:rFonts w:hint="eastAsia" w:eastAsia="仿宋_GB2312"/>
          <w:color w:val="000000"/>
          <w:sz w:val="32"/>
          <w:szCs w:val="32"/>
          <w:lang w:val="en-US" w:eastAsia="zh-CN"/>
        </w:rPr>
      </w:pPr>
      <w:r>
        <w:rPr>
          <w:rFonts w:hint="eastAsia" w:eastAsia="仿宋_GB2312"/>
          <w:color w:val="000000"/>
          <w:sz w:val="32"/>
          <w:szCs w:val="32"/>
          <w:lang w:val="en-US" w:eastAsia="zh-CN"/>
        </w:rPr>
        <w:t>2.图纸</w:t>
      </w:r>
    </w:p>
    <w:p>
      <w:pPr>
        <w:spacing w:line="560" w:lineRule="exact"/>
        <w:ind w:firstLine="643"/>
        <w:rPr>
          <w:rFonts w:hint="eastAsia" w:ascii="黑体" w:hAnsi="黑体" w:eastAsia="黑体" w:cs="黑体"/>
          <w:b/>
          <w:bCs/>
          <w:color w:val="000000"/>
          <w:sz w:val="32"/>
          <w:szCs w:val="32"/>
          <w:lang w:bidi="ar"/>
        </w:rPr>
      </w:pPr>
      <w:r>
        <w:rPr>
          <w:rFonts w:hint="eastAsia" w:ascii="黑体" w:hAnsi="黑体" w:eastAsia="黑体" w:cs="黑体"/>
          <w:b/>
          <w:bCs/>
          <w:color w:val="000000"/>
          <w:sz w:val="32"/>
          <w:szCs w:val="32"/>
          <w:lang w:bidi="ar"/>
        </w:rPr>
        <w:t>四、服务要求</w:t>
      </w:r>
    </w:p>
    <w:p>
      <w:pPr>
        <w:spacing w:line="560" w:lineRule="exact"/>
        <w:ind w:firstLine="643"/>
        <w:rPr>
          <w:rFonts w:hint="eastAsia" w:eastAsia="仿宋_GB2312"/>
          <w:color w:val="000000"/>
          <w:sz w:val="32"/>
          <w:szCs w:val="32"/>
        </w:rPr>
      </w:pPr>
      <w:r>
        <w:rPr>
          <w:rFonts w:hint="eastAsia" w:eastAsia="仿宋_GB2312"/>
          <w:color w:val="000000"/>
          <w:sz w:val="32"/>
          <w:szCs w:val="32"/>
        </w:rPr>
        <w:t>1.服务内容：</w:t>
      </w:r>
    </w:p>
    <w:p>
      <w:pPr>
        <w:spacing w:line="560" w:lineRule="exact"/>
        <w:ind w:firstLine="643"/>
        <w:rPr>
          <w:rFonts w:hint="default" w:eastAsia="仿宋_GB2312"/>
          <w:color w:val="000000"/>
          <w:sz w:val="32"/>
          <w:szCs w:val="32"/>
          <w:lang w:val="en-US"/>
        </w:rPr>
      </w:pPr>
      <w:r>
        <w:rPr>
          <w:rFonts w:hint="eastAsia" w:eastAsia="仿宋_GB2312"/>
          <w:color w:val="000000"/>
          <w:sz w:val="32"/>
          <w:szCs w:val="32"/>
        </w:rPr>
        <w:t>2.成果要求：</w:t>
      </w:r>
      <w:r>
        <w:rPr>
          <w:rFonts w:hint="eastAsia" w:eastAsia="仿宋_GB2312"/>
          <w:color w:val="000000"/>
          <w:sz w:val="32"/>
          <w:szCs w:val="32"/>
          <w:lang w:val="en-US" w:eastAsia="zh-CN"/>
        </w:rPr>
        <w:t>达到四川省都江堰水利发展中心视觉识别系统相关文件要求并通过验收。</w:t>
      </w:r>
    </w:p>
    <w:p>
      <w:pPr>
        <w:spacing w:line="560" w:lineRule="exact"/>
        <w:ind w:firstLine="643"/>
        <w:rPr>
          <w:rFonts w:hint="eastAsia" w:ascii="黑体" w:hAnsi="黑体" w:eastAsia="黑体" w:cs="黑体"/>
          <w:b/>
          <w:bCs/>
          <w:color w:val="000000"/>
          <w:sz w:val="32"/>
          <w:szCs w:val="32"/>
          <w:lang w:bidi="ar"/>
        </w:rPr>
      </w:pPr>
      <w:r>
        <w:rPr>
          <w:rFonts w:hint="eastAsia" w:ascii="黑体" w:hAnsi="黑体" w:eastAsia="黑体" w:cs="黑体"/>
          <w:b/>
          <w:bCs/>
          <w:color w:val="000000"/>
          <w:sz w:val="32"/>
          <w:szCs w:val="32"/>
          <w:lang w:bidi="ar"/>
        </w:rPr>
        <w:t>五、商务要求</w:t>
      </w:r>
    </w:p>
    <w:p>
      <w:pPr>
        <w:spacing w:line="560" w:lineRule="exact"/>
        <w:ind w:firstLine="643"/>
        <w:rPr>
          <w:rFonts w:eastAsia="仿宋_GB2312"/>
          <w:color w:val="000000"/>
          <w:sz w:val="32"/>
          <w:szCs w:val="32"/>
        </w:rPr>
      </w:pPr>
      <w:r>
        <w:rPr>
          <w:rFonts w:hint="eastAsia" w:eastAsia="仿宋_GB2312"/>
          <w:color w:val="000000"/>
          <w:sz w:val="32"/>
          <w:szCs w:val="32"/>
        </w:rPr>
        <w:t>1.完工地点：采购人指定地点；</w:t>
      </w:r>
    </w:p>
    <w:p>
      <w:pPr>
        <w:spacing w:line="560" w:lineRule="exact"/>
        <w:ind w:firstLine="643"/>
        <w:rPr>
          <w:rFonts w:eastAsia="仿宋_GB2312"/>
          <w:color w:val="000000"/>
          <w:sz w:val="32"/>
          <w:szCs w:val="32"/>
        </w:rPr>
      </w:pPr>
      <w:r>
        <w:rPr>
          <w:rFonts w:hint="eastAsia" w:eastAsia="仿宋_GB2312"/>
          <w:color w:val="000000"/>
          <w:sz w:val="32"/>
          <w:szCs w:val="32"/>
        </w:rPr>
        <w:t>2.工期要求：</w:t>
      </w:r>
      <w:r>
        <w:rPr>
          <w:rFonts w:hint="eastAsia" w:eastAsia="仿宋_GB2312"/>
          <w:color w:val="000000"/>
          <w:sz w:val="32"/>
          <w:szCs w:val="32"/>
          <w:u w:val="single"/>
          <w:lang w:val="en-US" w:eastAsia="zh-CN"/>
        </w:rPr>
        <w:t>35</w:t>
      </w:r>
      <w:r>
        <w:rPr>
          <w:rFonts w:hint="eastAsia" w:eastAsia="仿宋_GB2312"/>
          <w:color w:val="000000"/>
          <w:sz w:val="32"/>
          <w:szCs w:val="32"/>
        </w:rPr>
        <w:t>日历天；</w:t>
      </w:r>
    </w:p>
    <w:p>
      <w:pPr>
        <w:spacing w:line="560" w:lineRule="exact"/>
        <w:ind w:firstLine="643"/>
        <w:rPr>
          <w:rFonts w:eastAsia="仿宋_GB2312"/>
          <w:color w:val="000000"/>
          <w:sz w:val="32"/>
          <w:szCs w:val="32"/>
        </w:rPr>
      </w:pPr>
      <w:r>
        <w:rPr>
          <w:rFonts w:hint="eastAsia" w:eastAsia="仿宋_GB2312"/>
          <w:color w:val="000000"/>
          <w:sz w:val="32"/>
          <w:szCs w:val="32"/>
        </w:rPr>
        <w:t>3.质量标准：合格（按国家标准执行）；</w:t>
      </w:r>
    </w:p>
    <w:p>
      <w:pPr>
        <w:spacing w:line="560" w:lineRule="exact"/>
        <w:ind w:left="1" w:firstLine="640" w:firstLineChars="200"/>
        <w:rPr>
          <w:rFonts w:eastAsia="仿宋_GB2312"/>
          <w:color w:val="000000"/>
          <w:sz w:val="32"/>
          <w:szCs w:val="32"/>
        </w:rPr>
      </w:pPr>
      <w:r>
        <w:rPr>
          <w:rFonts w:hint="eastAsia" w:eastAsia="仿宋_GB2312"/>
          <w:color w:val="000000"/>
          <w:sz w:val="32"/>
          <w:szCs w:val="32"/>
        </w:rPr>
        <w:t>4.缺陷责任期：工程完工验收合格后12个月</w:t>
      </w:r>
    </w:p>
    <w:p>
      <w:pPr>
        <w:spacing w:line="560" w:lineRule="exact"/>
        <w:ind w:left="1" w:firstLine="640" w:firstLineChars="200"/>
        <w:rPr>
          <w:rFonts w:eastAsia="仿宋_GB2312"/>
          <w:color w:val="000000"/>
          <w:sz w:val="32"/>
          <w:szCs w:val="32"/>
        </w:rPr>
      </w:pPr>
      <w:r>
        <w:rPr>
          <w:rFonts w:eastAsia="仿宋_GB2312"/>
          <w:color w:val="000000"/>
          <w:sz w:val="32"/>
          <w:szCs w:val="32"/>
        </w:rPr>
        <w:t>5.</w:t>
      </w:r>
      <w:r>
        <w:rPr>
          <w:rFonts w:hint="eastAsia" w:eastAsia="仿宋_GB2312"/>
          <w:color w:val="000000"/>
          <w:sz w:val="32"/>
          <w:szCs w:val="32"/>
        </w:rPr>
        <w:t>工程质量保修期：工程完工验收合格后</w:t>
      </w:r>
      <w:r>
        <w:rPr>
          <w:rFonts w:eastAsia="仿宋_GB2312"/>
          <w:color w:val="000000"/>
          <w:sz w:val="32"/>
          <w:szCs w:val="32"/>
        </w:rPr>
        <w:t>1</w:t>
      </w:r>
      <w:r>
        <w:rPr>
          <w:rFonts w:hint="eastAsia" w:eastAsia="仿宋_GB2312"/>
          <w:color w:val="000000"/>
          <w:sz w:val="32"/>
          <w:szCs w:val="32"/>
        </w:rPr>
        <w:t>2个月</w:t>
      </w:r>
    </w:p>
    <w:p>
      <w:pPr>
        <w:spacing w:line="560" w:lineRule="exact"/>
        <w:ind w:left="1" w:firstLine="640" w:firstLineChars="200"/>
        <w:rPr>
          <w:rFonts w:eastAsia="仿宋_GB2312"/>
          <w:color w:val="000000"/>
          <w:sz w:val="32"/>
          <w:szCs w:val="32"/>
        </w:rPr>
      </w:pPr>
      <w:r>
        <w:rPr>
          <w:rFonts w:hint="eastAsia" w:eastAsia="仿宋_GB2312"/>
          <w:color w:val="000000"/>
          <w:sz w:val="32"/>
          <w:szCs w:val="32"/>
        </w:rPr>
        <w:t>6</w:t>
      </w:r>
      <w:r>
        <w:rPr>
          <w:rFonts w:eastAsia="仿宋_GB2312"/>
          <w:color w:val="000000"/>
          <w:sz w:val="32"/>
          <w:szCs w:val="32"/>
        </w:rPr>
        <w:t>.</w:t>
      </w:r>
      <w:r>
        <w:rPr>
          <w:rFonts w:hint="eastAsia" w:eastAsia="仿宋_GB2312"/>
          <w:color w:val="000000"/>
          <w:sz w:val="32"/>
          <w:szCs w:val="32"/>
        </w:rPr>
        <w:t>安全责任条款：在运输、安装、调试等整个施工过程中，发生的所有安全事故责任均由供应商承担。</w:t>
      </w:r>
    </w:p>
    <w:p>
      <w:pPr>
        <w:spacing w:line="560" w:lineRule="exact"/>
        <w:ind w:left="1" w:firstLine="640" w:firstLineChars="200"/>
        <w:rPr>
          <w:rFonts w:eastAsia="仿宋_GB2312"/>
          <w:color w:val="000000"/>
          <w:sz w:val="32"/>
          <w:szCs w:val="32"/>
        </w:rPr>
      </w:pPr>
      <w:r>
        <w:rPr>
          <w:rFonts w:eastAsia="仿宋_GB2312"/>
          <w:color w:val="000000"/>
          <w:sz w:val="32"/>
          <w:szCs w:val="32"/>
        </w:rPr>
        <w:t>7.</w:t>
      </w:r>
      <w:r>
        <w:rPr>
          <w:rFonts w:hint="eastAsia" w:eastAsia="仿宋_GB2312"/>
          <w:color w:val="000000"/>
          <w:sz w:val="32"/>
          <w:szCs w:val="32"/>
        </w:rPr>
        <w:t>质量保证金：详见合同约定</w:t>
      </w:r>
    </w:p>
    <w:p>
      <w:pPr>
        <w:spacing w:line="560" w:lineRule="exact"/>
        <w:ind w:firstLine="643"/>
        <w:rPr>
          <w:rFonts w:ascii="黑体" w:hAnsi="黑体" w:eastAsia="黑体" w:cs="黑体"/>
          <w:color w:val="000000"/>
          <w:sz w:val="32"/>
          <w:szCs w:val="32"/>
          <w:lang w:bidi="ar"/>
        </w:rPr>
      </w:pPr>
      <w:r>
        <w:rPr>
          <w:rFonts w:hint="eastAsia" w:ascii="黑体" w:hAnsi="黑体" w:eastAsia="黑体" w:cs="黑体"/>
          <w:color w:val="000000"/>
          <w:sz w:val="32"/>
          <w:szCs w:val="32"/>
          <w:lang w:bidi="ar"/>
        </w:rPr>
        <w:t>六、合同主要条款</w:t>
      </w:r>
    </w:p>
    <w:p>
      <w:pPr>
        <w:pStyle w:val="158"/>
        <w:spacing w:line="36" w:lineRule="auto"/>
        <w:ind w:firstLine="551"/>
        <w:jc w:val="left"/>
        <w:rPr>
          <w:rFonts w:hint="eastAsia" w:ascii="Times New Roman" w:hAnsi="Times New Roman" w:eastAsia="仿宋_GB2312" w:cs="Times New Roman"/>
          <w:color w:val="000000"/>
          <w:kern w:val="2"/>
          <w:sz w:val="32"/>
          <w:szCs w:val="32"/>
          <w:lang w:val="en-US" w:eastAsia="zh-CN" w:bidi="ar-SA"/>
        </w:rPr>
      </w:pPr>
      <w:r>
        <w:rPr>
          <w:rFonts w:hint="eastAsia" w:eastAsia="仿宋_GB2312"/>
          <w:color w:val="000000"/>
          <w:sz w:val="32"/>
          <w:szCs w:val="32"/>
        </w:rPr>
        <w:t>1.付款方式：</w:t>
      </w:r>
      <w:r>
        <w:rPr>
          <w:rFonts w:hint="eastAsia" w:ascii="Times New Roman" w:hAnsi="Times New Roman" w:eastAsia="仿宋_GB2312" w:cs="Times New Roman"/>
          <w:color w:val="000000"/>
          <w:kern w:val="2"/>
          <w:sz w:val="32"/>
          <w:szCs w:val="32"/>
          <w:lang w:val="en-US" w:eastAsia="zh-CN" w:bidi="ar-SA"/>
        </w:rPr>
        <w:t>支付采取银行转账方式。</w:t>
      </w:r>
      <w:r>
        <w:rPr>
          <w:rFonts w:hint="eastAsia" w:eastAsia="仿宋_GB2312" w:cs="Times New Roman"/>
          <w:color w:val="000000"/>
          <w:kern w:val="2"/>
          <w:sz w:val="32"/>
          <w:szCs w:val="32"/>
          <w:lang w:val="en-US" w:eastAsia="zh-CN" w:bidi="ar-SA"/>
        </w:rPr>
        <w:t>项目完工</w:t>
      </w:r>
      <w:r>
        <w:rPr>
          <w:rFonts w:hint="eastAsia" w:ascii="Times New Roman" w:hAnsi="Times New Roman" w:eastAsia="仿宋_GB2312" w:cs="Times New Roman"/>
          <w:color w:val="000000"/>
          <w:kern w:val="2"/>
          <w:sz w:val="32"/>
          <w:szCs w:val="32"/>
          <w:lang w:val="en-US" w:eastAsia="zh-CN" w:bidi="ar-SA"/>
        </w:rPr>
        <w:t>验收合格后，</w:t>
      </w:r>
      <w:r>
        <w:rPr>
          <w:rFonts w:hint="eastAsia" w:eastAsia="仿宋_GB2312" w:cs="Times New Roman"/>
          <w:color w:val="000000"/>
          <w:kern w:val="2"/>
          <w:sz w:val="32"/>
          <w:szCs w:val="32"/>
          <w:lang w:val="en-US" w:eastAsia="zh-CN" w:bidi="ar-SA"/>
        </w:rPr>
        <w:t>乙方及时向甲方提交由现场代表签字确认的结算书，待甲方审查完毕后，</w:t>
      </w:r>
      <w:r>
        <w:rPr>
          <w:rFonts w:hint="eastAsia" w:ascii="Times New Roman" w:hAnsi="Times New Roman" w:eastAsia="仿宋_GB2312" w:cs="Times New Roman"/>
          <w:color w:val="000000"/>
          <w:kern w:val="2"/>
          <w:sz w:val="32"/>
          <w:szCs w:val="32"/>
          <w:lang w:val="en-US" w:eastAsia="zh-CN" w:bidi="ar-SA"/>
        </w:rPr>
        <w:t>乙方开具相应的增值税专用发票，甲方收到发票后</w:t>
      </w:r>
      <w:r>
        <w:rPr>
          <w:rFonts w:hint="eastAsia" w:eastAsia="仿宋_GB2312" w:cs="Times New Roman"/>
          <w:color w:val="000000"/>
          <w:kern w:val="2"/>
          <w:sz w:val="32"/>
          <w:szCs w:val="32"/>
          <w:lang w:val="en-US" w:eastAsia="zh-CN" w:bidi="ar-SA"/>
        </w:rPr>
        <w:t>按照单位内控管理制度管理办法完成相关手续后</w:t>
      </w:r>
      <w:r>
        <w:rPr>
          <w:rFonts w:hint="eastAsia" w:ascii="Times New Roman" w:hAnsi="Times New Roman" w:eastAsia="仿宋_GB2312" w:cs="Times New Roman"/>
          <w:color w:val="000000"/>
          <w:kern w:val="2"/>
          <w:sz w:val="32"/>
          <w:szCs w:val="32"/>
          <w:lang w:val="en-US" w:eastAsia="zh-CN" w:bidi="ar-SA"/>
        </w:rPr>
        <w:t>，一次性付清所有款项。</w:t>
      </w:r>
    </w:p>
    <w:p>
      <w:pPr>
        <w:spacing w:line="560" w:lineRule="exact"/>
        <w:ind w:firstLine="643"/>
        <w:rPr>
          <w:rFonts w:eastAsia="仿宋_GB2312"/>
          <w:color w:val="000000"/>
          <w:sz w:val="32"/>
          <w:szCs w:val="32"/>
        </w:rPr>
      </w:pPr>
      <w:r>
        <w:rPr>
          <w:rFonts w:hint="eastAsia" w:eastAsia="仿宋_GB2312"/>
          <w:color w:val="000000"/>
          <w:sz w:val="32"/>
          <w:szCs w:val="32"/>
        </w:rPr>
        <w:t>2.合同争议处理：采购合同在履行过程中发生的争议，由双方当事人协商解决，协商解决不成的，提交</w:t>
      </w:r>
      <w:r>
        <w:rPr>
          <w:rFonts w:hint="eastAsia" w:eastAsia="仿宋_GB2312"/>
          <w:color w:val="000000"/>
          <w:sz w:val="32"/>
          <w:szCs w:val="32"/>
          <w:highlight w:val="none"/>
          <w:u w:val="single"/>
        </w:rPr>
        <w:t>都江堰市</w:t>
      </w:r>
      <w:r>
        <w:rPr>
          <w:rFonts w:hint="eastAsia" w:eastAsia="仿宋_GB2312"/>
          <w:color w:val="000000"/>
          <w:sz w:val="32"/>
          <w:szCs w:val="32"/>
        </w:rPr>
        <w:t>仲裁委员会仲裁。</w:t>
      </w:r>
    </w:p>
    <w:p>
      <w:pPr>
        <w:rPr>
          <w:rFonts w:eastAsia="仿宋_GB2312"/>
          <w:color w:val="000000"/>
          <w:sz w:val="32"/>
          <w:szCs w:val="32"/>
        </w:rPr>
      </w:pPr>
      <w:r>
        <w:rPr>
          <w:rFonts w:hint="eastAsia" w:eastAsia="仿宋_GB2312"/>
          <w:color w:val="000000"/>
          <w:sz w:val="32"/>
          <w:szCs w:val="32"/>
        </w:rPr>
        <w:br w:type="page"/>
      </w:r>
    </w:p>
    <w:p>
      <w:pPr>
        <w:pStyle w:val="17"/>
      </w:pPr>
    </w:p>
    <w:p>
      <w:pPr>
        <w:pStyle w:val="3"/>
        <w:spacing w:line="240" w:lineRule="auto"/>
      </w:pPr>
      <w:r>
        <w:t>第</w:t>
      </w:r>
      <w:r>
        <w:rPr>
          <w:rFonts w:hint="eastAsia"/>
        </w:rPr>
        <w:t>五</w:t>
      </w:r>
      <w:r>
        <w:t>章</w:t>
      </w:r>
      <w:r>
        <w:rPr>
          <w:rFonts w:hint="eastAsia"/>
        </w:rPr>
        <w:t xml:space="preserve"> </w:t>
      </w:r>
      <w:r>
        <w:rPr>
          <w:rFonts w:hint="eastAsia"/>
          <w:color w:val="000000"/>
          <w:lang w:bidi="ar"/>
        </w:rPr>
        <w:t>评审</w:t>
      </w:r>
      <w:r>
        <w:rPr>
          <w:rFonts w:hint="eastAsia"/>
          <w:lang w:bidi="ar"/>
        </w:rPr>
        <w:t>和谈判</w:t>
      </w:r>
    </w:p>
    <w:p>
      <w:pPr>
        <w:spacing w:line="560" w:lineRule="exact"/>
        <w:ind w:firstLine="643"/>
        <w:rPr>
          <w:rFonts w:ascii="黑体" w:hAnsi="黑体" w:eastAsia="黑体" w:cs="黑体"/>
          <w:color w:val="000000"/>
          <w:sz w:val="32"/>
          <w:szCs w:val="32"/>
          <w:lang w:bidi="ar"/>
        </w:rPr>
      </w:pPr>
      <w:r>
        <w:rPr>
          <w:rFonts w:hint="eastAsia" w:ascii="黑体" w:hAnsi="黑体" w:eastAsia="黑体" w:cs="黑体"/>
          <w:color w:val="000000"/>
          <w:sz w:val="32"/>
          <w:szCs w:val="32"/>
          <w:lang w:bidi="ar"/>
        </w:rPr>
        <w:t>一、评审方法</w:t>
      </w:r>
    </w:p>
    <w:p>
      <w:pPr>
        <w:spacing w:line="560" w:lineRule="exact"/>
        <w:ind w:firstLine="643"/>
        <w:rPr>
          <w:rFonts w:eastAsia="仿宋_GB2312"/>
          <w:color w:val="000000"/>
          <w:sz w:val="32"/>
          <w:szCs w:val="32"/>
        </w:rPr>
      </w:pPr>
      <w:r>
        <w:rPr>
          <w:rFonts w:hint="eastAsia" w:eastAsia="仿宋_GB2312"/>
          <w:color w:val="000000"/>
          <w:sz w:val="32"/>
          <w:szCs w:val="32"/>
        </w:rPr>
        <w:t>本项目采用最低评标价法，最低评标价法是指响应文件满足谈判文件全部实质性要求且评审价最低的供应商为成交候选供应商的评审方法。</w:t>
      </w:r>
    </w:p>
    <w:p>
      <w:pPr>
        <w:spacing w:line="560" w:lineRule="exact"/>
        <w:ind w:firstLine="643"/>
        <w:rPr>
          <w:rFonts w:ascii="黑体" w:hAnsi="黑体" w:eastAsia="黑体" w:cs="黑体"/>
          <w:color w:val="000000"/>
          <w:sz w:val="32"/>
          <w:szCs w:val="32"/>
          <w:lang w:bidi="ar"/>
        </w:rPr>
      </w:pPr>
      <w:r>
        <w:rPr>
          <w:rFonts w:hint="eastAsia" w:ascii="黑体" w:hAnsi="黑体" w:eastAsia="黑体" w:cs="黑体"/>
          <w:color w:val="000000"/>
          <w:sz w:val="32"/>
          <w:szCs w:val="32"/>
          <w:lang w:bidi="ar"/>
        </w:rPr>
        <w:t>二、谈判方法</w:t>
      </w:r>
    </w:p>
    <w:p>
      <w:pPr>
        <w:spacing w:line="560" w:lineRule="exact"/>
        <w:ind w:firstLine="643"/>
        <w:rPr>
          <w:rFonts w:eastAsia="仿宋_GB2312"/>
          <w:color w:val="000000"/>
          <w:sz w:val="32"/>
          <w:szCs w:val="32"/>
        </w:rPr>
      </w:pPr>
      <w:r>
        <w:rPr>
          <w:rFonts w:hint="eastAsia" w:eastAsia="仿宋_GB2312"/>
          <w:color w:val="000000"/>
          <w:sz w:val="32"/>
          <w:szCs w:val="32"/>
        </w:rPr>
        <w:t>1.采购人可以在评审前说明项目背景和采购需求，说明内容不得含有歧视性倾向性意见，不得超出谈判文件所述范围。</w:t>
      </w:r>
    </w:p>
    <w:p>
      <w:pPr>
        <w:spacing w:line="560" w:lineRule="exact"/>
        <w:ind w:firstLine="643"/>
        <w:rPr>
          <w:rFonts w:eastAsia="仿宋_GB2312"/>
          <w:color w:val="000000"/>
          <w:sz w:val="32"/>
          <w:szCs w:val="32"/>
        </w:rPr>
      </w:pPr>
      <w:r>
        <w:rPr>
          <w:rFonts w:hint="eastAsia" w:eastAsia="仿宋_GB2312"/>
          <w:color w:val="000000"/>
          <w:sz w:val="32"/>
          <w:szCs w:val="32"/>
        </w:rPr>
        <w:t>2.资格性审查</w:t>
      </w:r>
    </w:p>
    <w:p>
      <w:pPr>
        <w:spacing w:line="560" w:lineRule="exact"/>
        <w:ind w:firstLine="643"/>
        <w:rPr>
          <w:rFonts w:eastAsia="仿宋_GB2312"/>
          <w:color w:val="000000"/>
          <w:sz w:val="32"/>
          <w:szCs w:val="32"/>
        </w:rPr>
      </w:pPr>
      <w:r>
        <w:rPr>
          <w:rFonts w:hint="eastAsia" w:eastAsia="仿宋_GB2312"/>
          <w:color w:val="000000"/>
          <w:sz w:val="32"/>
          <w:szCs w:val="32"/>
        </w:rPr>
        <w:t>本项目需要谈判小组进行资格性审查。谈判小组应依据谈判文件的规定，对</w:t>
      </w:r>
      <w:r>
        <w:rPr>
          <w:rFonts w:hint="eastAsia" w:eastAsia="仿宋_GB2312"/>
          <w:b/>
          <w:bCs/>
          <w:color w:val="000000"/>
          <w:sz w:val="32"/>
          <w:szCs w:val="32"/>
        </w:rPr>
        <w:t>资格性响应文件</w:t>
      </w:r>
      <w:r>
        <w:rPr>
          <w:rFonts w:hint="eastAsia" w:eastAsia="仿宋_GB2312"/>
          <w:color w:val="000000"/>
          <w:sz w:val="32"/>
          <w:szCs w:val="32"/>
        </w:rPr>
        <w:t>是否按照规定要求提供资格性证明资料、是否属于禁止参加谈判的供应商等进行审查，以确定供应商是否具备谈判资格。</w:t>
      </w:r>
    </w:p>
    <w:p>
      <w:pPr>
        <w:spacing w:line="560" w:lineRule="exact"/>
        <w:ind w:firstLine="643"/>
        <w:rPr>
          <w:rFonts w:eastAsia="仿宋_GB2312"/>
          <w:color w:val="000000"/>
          <w:sz w:val="32"/>
          <w:szCs w:val="32"/>
        </w:rPr>
      </w:pPr>
      <w:r>
        <w:rPr>
          <w:rFonts w:hint="eastAsia" w:eastAsia="仿宋_GB2312"/>
          <w:color w:val="000000"/>
          <w:sz w:val="32"/>
          <w:szCs w:val="32"/>
        </w:rPr>
        <w:t>谈判小组对所有供应商响应文件进行评审。</w:t>
      </w:r>
    </w:p>
    <w:p>
      <w:pPr>
        <w:spacing w:line="560" w:lineRule="exact"/>
        <w:ind w:firstLine="643"/>
        <w:rPr>
          <w:rFonts w:eastAsia="仿宋_GB2312"/>
          <w:color w:val="000000"/>
          <w:sz w:val="32"/>
          <w:szCs w:val="32"/>
        </w:rPr>
      </w:pPr>
      <w:r>
        <w:rPr>
          <w:rFonts w:hint="eastAsia" w:eastAsia="仿宋_GB2312"/>
          <w:color w:val="000000"/>
          <w:sz w:val="32"/>
          <w:szCs w:val="32"/>
        </w:rPr>
        <w:t>3.有效性、完整性和响应程度审查</w:t>
      </w:r>
    </w:p>
    <w:p>
      <w:pPr>
        <w:spacing w:line="560" w:lineRule="exact"/>
        <w:ind w:firstLine="643"/>
        <w:rPr>
          <w:rFonts w:eastAsia="仿宋_GB2312"/>
          <w:color w:val="000000"/>
          <w:sz w:val="32"/>
          <w:szCs w:val="32"/>
        </w:rPr>
      </w:pPr>
      <w:r>
        <w:rPr>
          <w:rFonts w:hint="eastAsia" w:eastAsia="仿宋_GB2312"/>
          <w:color w:val="000000"/>
          <w:sz w:val="32"/>
          <w:szCs w:val="32"/>
        </w:rPr>
        <w:t>本项目需要谈判小组对通过资格性审查的供应商进行有效性、完整性和响应程度审查，以确定供应商是否具备谈判资格。</w:t>
      </w:r>
    </w:p>
    <w:p>
      <w:pPr>
        <w:spacing w:line="560" w:lineRule="exact"/>
        <w:ind w:firstLine="643"/>
        <w:rPr>
          <w:rFonts w:eastAsia="仿宋_GB2312"/>
          <w:color w:val="000000"/>
          <w:sz w:val="32"/>
          <w:szCs w:val="32"/>
        </w:rPr>
      </w:pPr>
      <w:r>
        <w:rPr>
          <w:rFonts w:hint="eastAsia" w:eastAsia="仿宋_GB2312"/>
          <w:color w:val="000000"/>
          <w:sz w:val="32"/>
          <w:szCs w:val="32"/>
        </w:rPr>
        <w:t>4.竞争性谈判小组所有成员集中与通过审查的供应商按签到顺序分别进行谈判。</w:t>
      </w:r>
    </w:p>
    <w:p>
      <w:pPr>
        <w:spacing w:line="560" w:lineRule="exact"/>
        <w:ind w:firstLine="643"/>
        <w:rPr>
          <w:rFonts w:eastAsia="仿宋_GB2312"/>
          <w:color w:val="000000"/>
          <w:sz w:val="32"/>
          <w:szCs w:val="32"/>
        </w:rPr>
      </w:pPr>
      <w:r>
        <w:rPr>
          <w:rFonts w:hint="eastAsia" w:eastAsia="仿宋_GB2312"/>
          <w:color w:val="000000"/>
          <w:sz w:val="32"/>
          <w:szCs w:val="32"/>
        </w:rPr>
        <w:t>5.在谈判过程中，针对第四章、第六章所包含的技术、服务要求以及合同草案条款，谈判小组在获得采购人代表确认的前提下，可以根据谈判情况实质性变动相关内容，但不得变动谈判文件的其他内容。谈判小组对谈判文件作出的实质性变动是谈判文件的有效组成部分，谈判小组会及时以书面形式通知所有参加谈判的供应商。</w:t>
      </w:r>
    </w:p>
    <w:p>
      <w:pPr>
        <w:spacing w:line="560" w:lineRule="exact"/>
        <w:ind w:firstLine="643"/>
        <w:rPr>
          <w:rFonts w:eastAsia="仿宋_GB2312"/>
          <w:color w:val="000000"/>
          <w:sz w:val="32"/>
          <w:szCs w:val="32"/>
        </w:rPr>
      </w:pPr>
      <w:r>
        <w:rPr>
          <w:rFonts w:hint="eastAsia" w:eastAsia="仿宋_GB2312"/>
          <w:color w:val="000000"/>
          <w:sz w:val="32"/>
          <w:szCs w:val="32"/>
        </w:rPr>
        <w:t>6.谈判结束后，要求所有继续参加谈判的供应商在规定时间内以书面形式提交最终报价，若供应商未在规定时间内提交报价，则视上一轮报价为该供应商最终报价；在谈判内容不做实质性变更或重大调整的前提下，供应商下轮报价不得高于上一轮报价，否则视该供应商所有轮次报价均为无效报价。</w:t>
      </w:r>
    </w:p>
    <w:p>
      <w:pPr>
        <w:spacing w:line="560" w:lineRule="exact"/>
        <w:ind w:firstLine="643"/>
        <w:rPr>
          <w:rFonts w:eastAsia="仿宋_GB2312"/>
          <w:color w:val="000000"/>
          <w:sz w:val="32"/>
          <w:szCs w:val="32"/>
        </w:rPr>
      </w:pPr>
      <w:r>
        <w:rPr>
          <w:rFonts w:hint="eastAsia" w:eastAsia="仿宋_GB2312"/>
          <w:color w:val="000000"/>
          <w:sz w:val="32"/>
          <w:szCs w:val="32"/>
        </w:rPr>
        <w:t>7.在提交最后报价之前，供应商可以根据谈判情况退出谈判。</w:t>
      </w:r>
    </w:p>
    <w:p>
      <w:pPr>
        <w:spacing w:line="560" w:lineRule="exact"/>
        <w:ind w:firstLine="643"/>
        <w:rPr>
          <w:rFonts w:eastAsia="仿宋_GB2312"/>
          <w:color w:val="000000"/>
          <w:sz w:val="32"/>
          <w:szCs w:val="32"/>
        </w:rPr>
      </w:pPr>
      <w:r>
        <w:rPr>
          <w:rFonts w:hint="eastAsia" w:eastAsia="仿宋_GB2312"/>
          <w:color w:val="000000"/>
          <w:sz w:val="32"/>
          <w:szCs w:val="32"/>
        </w:rPr>
        <w:t>8.谈判小组应当从质量和服务均能满足采购文件实质性响应要求的供应商中，按照最后评审价由低到高的顺序提出3名成交候选人并评价。若出现评审价相同的情况，按照技术指标优劣顺序推荐。</w:t>
      </w:r>
    </w:p>
    <w:p>
      <w:pPr>
        <w:spacing w:line="560" w:lineRule="exact"/>
        <w:ind w:firstLine="643"/>
        <w:rPr>
          <w:rFonts w:eastAsia="仿宋_GB2312"/>
          <w:color w:val="000000"/>
          <w:sz w:val="32"/>
          <w:szCs w:val="32"/>
        </w:rPr>
      </w:pPr>
      <w:r>
        <w:rPr>
          <w:rFonts w:hint="eastAsia" w:eastAsia="仿宋_GB2312"/>
          <w:color w:val="000000"/>
          <w:sz w:val="32"/>
          <w:szCs w:val="32"/>
        </w:rPr>
        <w:t>9.对于响应文件中含义不明确同类问题表述不一致或者有明显文字和计算错误的内容，谈判小组应当以书面形式要求供应商作出必要的澄清说明或者补正。</w:t>
      </w:r>
    </w:p>
    <w:p>
      <w:pPr>
        <w:ind w:firstLine="480"/>
        <w:rPr>
          <w:rFonts w:eastAsia="仿宋_GB2312"/>
          <w:color w:val="000000"/>
          <w:sz w:val="32"/>
          <w:szCs w:val="32"/>
        </w:rPr>
      </w:pPr>
      <w:r>
        <w:rPr>
          <w:rFonts w:hint="eastAsia" w:eastAsia="仿宋_GB2312"/>
          <w:color w:val="000000"/>
          <w:sz w:val="32"/>
          <w:szCs w:val="32"/>
        </w:rPr>
        <w:t>10.复核：</w:t>
      </w:r>
    </w:p>
    <w:p>
      <w:pPr>
        <w:ind w:firstLine="480"/>
        <w:rPr>
          <w:rFonts w:eastAsia="仿宋_GB2312"/>
          <w:color w:val="000000"/>
          <w:sz w:val="32"/>
          <w:szCs w:val="32"/>
        </w:rPr>
      </w:pPr>
      <w:r>
        <w:rPr>
          <w:rFonts w:hint="eastAsia" w:eastAsia="仿宋_GB2312"/>
          <w:color w:val="000000"/>
          <w:sz w:val="32"/>
          <w:szCs w:val="32"/>
        </w:rPr>
        <w:t>10.1谈判小组复核：供应商最后报价结束后，谈判小组应当进行评审复核，对拟推荐为成交候选供应商的、报价最低的、供应商响应文件作无效处理的重点复核。</w:t>
      </w:r>
    </w:p>
    <w:p>
      <w:pPr>
        <w:ind w:firstLine="480"/>
        <w:rPr>
          <w:rFonts w:eastAsia="仿宋_GB2312"/>
          <w:color w:val="000000"/>
          <w:sz w:val="32"/>
          <w:szCs w:val="32"/>
        </w:rPr>
      </w:pPr>
      <w:r>
        <w:rPr>
          <w:rFonts w:hint="eastAsia" w:eastAsia="仿宋_GB2312"/>
          <w:color w:val="000000"/>
          <w:sz w:val="32"/>
          <w:szCs w:val="32"/>
        </w:rPr>
        <w:t>10.2采购人现场复核评审结果：推荐成交候选供应商后，谈判小组拟出具评审报告前，采购人代表在采购现场监督人员的监督之下，依据有关的法律制度和谈判文件对评审结果进行复核。</w:t>
      </w:r>
    </w:p>
    <w:p>
      <w:pPr>
        <w:spacing w:line="560" w:lineRule="exact"/>
        <w:ind w:left="1" w:firstLine="640" w:firstLineChars="200"/>
        <w:rPr>
          <w:rFonts w:eastAsia="仿宋_GB2312"/>
          <w:color w:val="000000"/>
          <w:sz w:val="32"/>
          <w:szCs w:val="32"/>
        </w:rPr>
      </w:pPr>
      <w:r>
        <w:rPr>
          <w:rFonts w:hint="eastAsia" w:eastAsia="仿宋_GB2312"/>
          <w:color w:val="000000"/>
          <w:sz w:val="32"/>
          <w:szCs w:val="32"/>
        </w:rPr>
        <w:t>11.编写评审报告。</w:t>
      </w:r>
    </w:p>
    <w:p>
      <w:pPr>
        <w:spacing w:line="560" w:lineRule="exact"/>
        <w:ind w:firstLine="643"/>
        <w:rPr>
          <w:rFonts w:ascii="黑体" w:hAnsi="黑体" w:eastAsia="黑体" w:cs="黑体"/>
          <w:color w:val="000000"/>
          <w:sz w:val="32"/>
          <w:szCs w:val="32"/>
          <w:lang w:bidi="ar"/>
        </w:rPr>
      </w:pPr>
      <w:r>
        <w:rPr>
          <w:rFonts w:hint="eastAsia" w:ascii="黑体" w:hAnsi="黑体" w:eastAsia="黑体" w:cs="黑体"/>
          <w:color w:val="000000"/>
          <w:sz w:val="32"/>
          <w:szCs w:val="32"/>
          <w:lang w:bidi="ar"/>
        </w:rPr>
        <w:t>三、谈判流程</w:t>
      </w:r>
    </w:p>
    <w:p>
      <w:pPr>
        <w:spacing w:line="560" w:lineRule="exact"/>
        <w:ind w:firstLine="643"/>
        <w:rPr>
          <w:rFonts w:eastAsia="仿宋_GB2312"/>
          <w:color w:val="000000"/>
          <w:sz w:val="32"/>
          <w:szCs w:val="32"/>
        </w:rPr>
      </w:pPr>
      <w:r>
        <w:rPr>
          <w:rFonts w:hint="eastAsia" w:eastAsia="仿宋_GB2312"/>
          <w:color w:val="000000"/>
          <w:sz w:val="32"/>
          <w:szCs w:val="32"/>
        </w:rPr>
        <w:t>谈判工作由采购人负责组织，具体谈判由组建的评审小组负责。谈判流程如下：</w:t>
      </w:r>
    </w:p>
    <w:p>
      <w:pPr>
        <w:spacing w:line="560" w:lineRule="exact"/>
        <w:ind w:firstLine="643"/>
        <w:rPr>
          <w:rFonts w:eastAsia="仿宋_GB2312"/>
          <w:color w:val="000000"/>
          <w:sz w:val="32"/>
          <w:szCs w:val="32"/>
        </w:rPr>
      </w:pPr>
      <w:r>
        <w:rPr>
          <w:rFonts w:eastAsia="仿宋_GB2312"/>
          <w:b/>
          <w:bCs/>
          <w:color w:val="000000"/>
          <w:sz w:val="32"/>
          <w:szCs w:val="32"/>
        </w:rPr>
        <w:t>1.</w:t>
      </w:r>
      <w:r>
        <w:rPr>
          <w:rFonts w:hint="eastAsia" w:eastAsia="仿宋_GB2312"/>
          <w:b/>
          <w:bCs/>
          <w:color w:val="000000"/>
          <w:sz w:val="32"/>
          <w:szCs w:val="32"/>
        </w:rPr>
        <w:t>谈判前准备工作：</w:t>
      </w:r>
      <w:r>
        <w:rPr>
          <w:rFonts w:hint="eastAsia" w:eastAsia="仿宋_GB2312"/>
          <w:color w:val="000000"/>
          <w:sz w:val="32"/>
          <w:szCs w:val="32"/>
        </w:rPr>
        <w:t>采购人代表介绍采购项目基本情况</w:t>
      </w:r>
      <w:r>
        <w:rPr>
          <w:rFonts w:ascii="Arial" w:hAnsi="Arial" w:eastAsia="仿宋_GB2312" w:cs="Arial"/>
          <w:color w:val="000000"/>
          <w:sz w:val="32"/>
          <w:szCs w:val="32"/>
        </w:rPr>
        <w:t>→</w:t>
      </w:r>
      <w:r>
        <w:rPr>
          <w:rFonts w:hint="eastAsia" w:ascii="Arial" w:hAnsi="Arial" w:eastAsia="仿宋_GB2312" w:cs="Arial"/>
          <w:color w:val="000000"/>
          <w:sz w:val="32"/>
          <w:szCs w:val="32"/>
        </w:rPr>
        <w:t>采购人代表组织供应商签到</w:t>
      </w:r>
      <w:r>
        <w:rPr>
          <w:rFonts w:ascii="Arial" w:hAnsi="Arial" w:eastAsia="仿宋_GB2312" w:cs="Arial"/>
          <w:color w:val="000000"/>
          <w:sz w:val="32"/>
          <w:szCs w:val="32"/>
        </w:rPr>
        <w:t>→</w:t>
      </w:r>
      <w:r>
        <w:rPr>
          <w:rFonts w:hint="eastAsia" w:ascii="Arial" w:hAnsi="Arial" w:eastAsia="仿宋_GB2312" w:cs="Arial"/>
          <w:color w:val="000000"/>
          <w:sz w:val="32"/>
          <w:szCs w:val="32"/>
        </w:rPr>
        <w:t>采购人代表组织</w:t>
      </w:r>
      <w:r>
        <w:rPr>
          <w:rFonts w:ascii="Arial" w:hAnsi="Arial" w:eastAsia="仿宋_GB2312" w:cs="Arial"/>
          <w:color w:val="000000"/>
          <w:sz w:val="32"/>
          <w:szCs w:val="32"/>
        </w:rPr>
        <w:t>递交响应文件签收→</w:t>
      </w:r>
      <w:r>
        <w:rPr>
          <w:rFonts w:hint="eastAsia" w:ascii="Arial" w:hAnsi="Arial" w:eastAsia="仿宋_GB2312" w:cs="Arial"/>
          <w:color w:val="000000"/>
          <w:sz w:val="32"/>
          <w:szCs w:val="32"/>
        </w:rPr>
        <w:t>采购人代表组织</w:t>
      </w:r>
      <w:r>
        <w:rPr>
          <w:rFonts w:ascii="Arial" w:hAnsi="Arial" w:eastAsia="仿宋_GB2312" w:cs="Arial"/>
          <w:color w:val="000000"/>
          <w:sz w:val="32"/>
          <w:szCs w:val="32"/>
        </w:rPr>
        <w:t>采购人、监督人、谈判</w:t>
      </w:r>
      <w:r>
        <w:rPr>
          <w:rFonts w:hint="eastAsia" w:ascii="Arial" w:hAnsi="Arial" w:eastAsia="仿宋_GB2312" w:cs="Arial"/>
          <w:color w:val="000000"/>
          <w:sz w:val="32"/>
          <w:szCs w:val="32"/>
        </w:rPr>
        <w:t>小组</w:t>
      </w:r>
      <w:r>
        <w:rPr>
          <w:rFonts w:ascii="Arial" w:hAnsi="Arial" w:eastAsia="仿宋_GB2312" w:cs="Arial"/>
          <w:color w:val="000000"/>
          <w:sz w:val="32"/>
          <w:szCs w:val="32"/>
        </w:rPr>
        <w:t>签到→</w:t>
      </w:r>
      <w:r>
        <w:rPr>
          <w:rFonts w:hint="eastAsia" w:ascii="Arial" w:hAnsi="Arial" w:eastAsia="仿宋_GB2312" w:cs="Arial"/>
          <w:color w:val="000000"/>
          <w:sz w:val="32"/>
          <w:szCs w:val="32"/>
        </w:rPr>
        <w:t>采购人代表组织</w:t>
      </w:r>
      <w:r>
        <w:rPr>
          <w:rFonts w:ascii="Arial" w:hAnsi="Arial" w:eastAsia="仿宋_GB2312" w:cs="Arial"/>
          <w:color w:val="000000"/>
          <w:sz w:val="32"/>
          <w:szCs w:val="32"/>
        </w:rPr>
        <w:t>响应文件密封检查</w:t>
      </w:r>
      <w:r>
        <w:rPr>
          <w:rFonts w:hint="eastAsia" w:ascii="Arial" w:hAnsi="Arial" w:eastAsia="仿宋_GB2312" w:cs="Arial"/>
          <w:color w:val="000000"/>
          <w:sz w:val="32"/>
          <w:szCs w:val="32"/>
        </w:rPr>
        <w:t>。</w:t>
      </w:r>
      <w:r>
        <w:rPr>
          <w:rFonts w:hint="eastAsia" w:ascii="Arial" w:hAnsi="Arial" w:eastAsia="仿宋_GB2312" w:cs="Arial"/>
          <w:b/>
          <w:bCs/>
          <w:color w:val="000000"/>
          <w:sz w:val="32"/>
          <w:szCs w:val="32"/>
        </w:rPr>
        <w:t>详见附件</w:t>
      </w:r>
      <w:r>
        <w:rPr>
          <w:rFonts w:ascii="Arial" w:hAnsi="Arial" w:eastAsia="仿宋_GB2312" w:cs="Arial"/>
          <w:b/>
          <w:bCs/>
          <w:color w:val="000000"/>
          <w:sz w:val="32"/>
          <w:szCs w:val="32"/>
        </w:rPr>
        <w:t>1</w:t>
      </w:r>
      <w:r>
        <w:rPr>
          <w:rFonts w:hint="eastAsia" w:ascii="Arial" w:hAnsi="Arial" w:eastAsia="仿宋_GB2312" w:cs="Arial"/>
          <w:b/>
          <w:bCs/>
          <w:color w:val="000000"/>
          <w:sz w:val="32"/>
          <w:szCs w:val="32"/>
        </w:rPr>
        <w:t>—4</w:t>
      </w:r>
    </w:p>
    <w:p>
      <w:pPr>
        <w:spacing w:line="560" w:lineRule="exact"/>
        <w:ind w:firstLine="643"/>
        <w:rPr>
          <w:rFonts w:eastAsia="仿宋_GB2312"/>
          <w:b/>
          <w:bCs/>
          <w:color w:val="000000"/>
          <w:sz w:val="32"/>
          <w:szCs w:val="32"/>
        </w:rPr>
      </w:pPr>
      <w:r>
        <w:rPr>
          <w:rFonts w:eastAsia="仿宋_GB2312"/>
          <w:b/>
          <w:bCs/>
          <w:color w:val="000000"/>
          <w:sz w:val="32"/>
          <w:szCs w:val="32"/>
        </w:rPr>
        <w:t>2.</w:t>
      </w:r>
      <w:r>
        <w:rPr>
          <w:rFonts w:hint="eastAsia" w:eastAsia="仿宋_GB2312"/>
          <w:b/>
          <w:bCs/>
          <w:color w:val="000000"/>
          <w:sz w:val="32"/>
          <w:szCs w:val="32"/>
        </w:rPr>
        <w:t>谈判过程工作：</w:t>
      </w:r>
      <w:r>
        <w:rPr>
          <w:rFonts w:hint="eastAsia" w:eastAsia="仿宋_GB2312"/>
          <w:color w:val="000000"/>
          <w:sz w:val="32"/>
          <w:szCs w:val="32"/>
        </w:rPr>
        <w:t>谈判小组组织</w:t>
      </w:r>
      <w:r>
        <w:rPr>
          <w:rFonts w:hint="eastAsia" w:ascii="Arial" w:hAnsi="Arial" w:eastAsia="仿宋_GB2312" w:cs="Arial"/>
          <w:color w:val="000000"/>
          <w:sz w:val="32"/>
          <w:szCs w:val="32"/>
        </w:rPr>
        <w:t>资格</w:t>
      </w:r>
      <w:r>
        <w:rPr>
          <w:rFonts w:hint="eastAsia" w:eastAsia="仿宋_GB2312"/>
          <w:color w:val="000000"/>
          <w:sz w:val="32"/>
          <w:szCs w:val="32"/>
        </w:rPr>
        <w:t>性文件审查</w:t>
      </w:r>
      <w:r>
        <w:rPr>
          <w:rFonts w:ascii="Arial" w:hAnsi="Arial" w:eastAsia="仿宋_GB2312" w:cs="Arial"/>
          <w:color w:val="000000"/>
          <w:sz w:val="32"/>
          <w:szCs w:val="32"/>
        </w:rPr>
        <w:t>→</w:t>
      </w:r>
      <w:r>
        <w:rPr>
          <w:rFonts w:hint="eastAsia" w:eastAsia="仿宋_GB2312"/>
          <w:color w:val="000000"/>
          <w:sz w:val="32"/>
          <w:szCs w:val="32"/>
        </w:rPr>
        <w:t>谈判小组组织其他响应文件审查</w:t>
      </w:r>
      <w:r>
        <w:rPr>
          <w:rFonts w:ascii="Arial" w:hAnsi="Arial" w:eastAsia="仿宋_GB2312" w:cs="Arial"/>
          <w:color w:val="000000"/>
          <w:sz w:val="32"/>
          <w:szCs w:val="32"/>
        </w:rPr>
        <w:t>→</w:t>
      </w:r>
      <w:r>
        <w:rPr>
          <w:rFonts w:hint="eastAsia" w:eastAsia="仿宋_GB2312"/>
          <w:color w:val="000000"/>
          <w:sz w:val="32"/>
          <w:szCs w:val="32"/>
        </w:rPr>
        <w:t>谈判小组组织第二轮（最后一轮）报价</w:t>
      </w:r>
      <w:r>
        <w:rPr>
          <w:rFonts w:ascii="Arial" w:hAnsi="Arial" w:eastAsia="仿宋_GB2312" w:cs="Arial"/>
          <w:color w:val="000000"/>
          <w:sz w:val="32"/>
          <w:szCs w:val="32"/>
        </w:rPr>
        <w:t>→</w:t>
      </w:r>
      <w:r>
        <w:rPr>
          <w:rFonts w:hint="eastAsia" w:ascii="Arial" w:hAnsi="Arial" w:eastAsia="仿宋_GB2312" w:cs="Arial"/>
          <w:color w:val="000000"/>
          <w:sz w:val="32"/>
          <w:szCs w:val="32"/>
        </w:rPr>
        <w:t>谈判小组组织复核</w:t>
      </w:r>
      <w:r>
        <w:rPr>
          <w:rFonts w:ascii="Arial" w:hAnsi="Arial" w:eastAsia="仿宋_GB2312" w:cs="Arial"/>
          <w:color w:val="000000"/>
          <w:sz w:val="32"/>
          <w:szCs w:val="32"/>
        </w:rPr>
        <w:t>→</w:t>
      </w:r>
      <w:r>
        <w:rPr>
          <w:rFonts w:hint="eastAsia" w:eastAsia="仿宋_GB2312"/>
          <w:color w:val="000000"/>
          <w:sz w:val="32"/>
          <w:szCs w:val="32"/>
        </w:rPr>
        <w:t>谈判小组出具评审报告。</w:t>
      </w:r>
      <w:r>
        <w:rPr>
          <w:rFonts w:hint="eastAsia" w:ascii="Arial" w:hAnsi="Arial" w:eastAsia="仿宋_GB2312" w:cs="Arial"/>
          <w:b/>
          <w:bCs/>
          <w:color w:val="000000"/>
          <w:sz w:val="32"/>
          <w:szCs w:val="32"/>
        </w:rPr>
        <w:t>详见附件5—10</w:t>
      </w:r>
    </w:p>
    <w:p>
      <w:pPr>
        <w:spacing w:line="360" w:lineRule="auto"/>
        <w:ind w:left="1" w:firstLine="640" w:firstLineChars="200"/>
        <w:rPr>
          <w:rFonts w:eastAsia="仿宋_GB2312"/>
          <w:color w:val="000000"/>
          <w:sz w:val="32"/>
          <w:szCs w:val="32"/>
        </w:rPr>
      </w:pPr>
      <w:r>
        <w:rPr>
          <w:rFonts w:hint="eastAsia" w:eastAsia="仿宋_GB2312"/>
          <w:color w:val="000000"/>
          <w:sz w:val="32"/>
          <w:szCs w:val="32"/>
        </w:rPr>
        <w:br w:type="page"/>
      </w:r>
    </w:p>
    <w:p>
      <w:pPr>
        <w:pStyle w:val="3"/>
        <w:spacing w:line="240" w:lineRule="auto"/>
      </w:pPr>
      <w:bookmarkStart w:id="60" w:name="_Toc17679"/>
      <w:r>
        <w:rPr>
          <w:rFonts w:hint="eastAsia"/>
        </w:rPr>
        <w:t>第六章 响应文件格式</w:t>
      </w:r>
      <w:bookmarkEnd w:id="60"/>
    </w:p>
    <w:p>
      <w:pPr>
        <w:spacing w:line="560" w:lineRule="exact"/>
        <w:ind w:firstLine="643"/>
        <w:rPr>
          <w:rFonts w:eastAsia="仿宋_GB2312"/>
          <w:color w:val="000000"/>
          <w:sz w:val="32"/>
          <w:szCs w:val="32"/>
        </w:rPr>
      </w:pPr>
      <w:r>
        <w:rPr>
          <w:rFonts w:hint="eastAsia" w:eastAsia="仿宋_GB2312"/>
          <w:color w:val="000000"/>
          <w:sz w:val="32"/>
          <w:szCs w:val="32"/>
        </w:rPr>
        <w:t>一、本章所制响应文件格式（不包括签字盖章），除格式中明确将该格式作为实质性要求的，不具有强制性。</w:t>
      </w:r>
    </w:p>
    <w:p>
      <w:pPr>
        <w:spacing w:line="560" w:lineRule="exact"/>
        <w:ind w:firstLine="643"/>
        <w:rPr>
          <w:rFonts w:eastAsia="仿宋_GB2312"/>
        </w:rPr>
      </w:pPr>
      <w:r>
        <w:rPr>
          <w:rFonts w:hint="eastAsia" w:eastAsia="仿宋_GB2312"/>
          <w:color w:val="000000"/>
          <w:sz w:val="32"/>
          <w:szCs w:val="32"/>
        </w:rPr>
        <w:t>二、响应文件实质性格式部分：响应文件中签字或盖章处、其他类似效力要求（详见第四章第二条第2点规定）、标注实质性要求的格式。</w:t>
      </w:r>
    </w:p>
    <w:p>
      <w:pPr>
        <w:spacing w:line="560" w:lineRule="exact"/>
        <w:ind w:firstLine="643"/>
        <w:rPr>
          <w:rFonts w:eastAsia="仿宋_GB2312"/>
          <w:color w:val="000000"/>
          <w:sz w:val="32"/>
          <w:szCs w:val="32"/>
        </w:rPr>
      </w:pPr>
      <w:r>
        <w:rPr>
          <w:rFonts w:hint="eastAsia" w:eastAsia="仿宋_GB2312"/>
          <w:color w:val="000000"/>
          <w:sz w:val="32"/>
          <w:szCs w:val="32"/>
        </w:rPr>
        <w:t>三、本章所制响应文件格式有关表格中的备注栏，由供应商根据自身响应情况作解释性说明，不作为必填项。</w:t>
      </w:r>
    </w:p>
    <w:p>
      <w:pPr>
        <w:spacing w:line="560" w:lineRule="exact"/>
        <w:ind w:firstLine="643"/>
        <w:rPr>
          <w:rFonts w:eastAsia="仿宋_GB2312"/>
          <w:color w:val="000000"/>
          <w:sz w:val="32"/>
          <w:szCs w:val="32"/>
        </w:rPr>
      </w:pPr>
      <w:r>
        <w:rPr>
          <w:rFonts w:hint="eastAsia" w:eastAsia="仿宋_GB2312"/>
          <w:color w:val="000000"/>
          <w:sz w:val="32"/>
          <w:szCs w:val="32"/>
        </w:rPr>
        <w:t>四、本章所制响应文件格式中需要填写的相关内容事项，可能会与本采购项目无关，在不改变响应文件原义、不影响本项目采购需求的情况下，供应商可以不予填写，但应当注明。</w:t>
      </w:r>
    </w:p>
    <w:p>
      <w:pPr>
        <w:spacing w:line="360" w:lineRule="auto"/>
        <w:jc w:val="center"/>
        <w:rPr>
          <w:rFonts w:ascii="仿宋" w:hAnsi="仿宋" w:eastAsia="仿宋"/>
          <w:b/>
          <w:bCs/>
          <w:sz w:val="32"/>
          <w:szCs w:val="32"/>
        </w:rPr>
      </w:pPr>
    </w:p>
    <w:p>
      <w:pPr>
        <w:spacing w:line="360" w:lineRule="auto"/>
        <w:jc w:val="center"/>
        <w:rPr>
          <w:rFonts w:ascii="仿宋" w:hAnsi="仿宋" w:eastAsia="仿宋"/>
          <w:b/>
          <w:bCs/>
          <w:sz w:val="32"/>
          <w:szCs w:val="32"/>
        </w:rPr>
      </w:pPr>
      <w:r>
        <w:rPr>
          <w:rFonts w:ascii="仿宋" w:hAnsi="仿宋" w:eastAsia="仿宋"/>
          <w:b/>
          <w:bCs/>
          <w:sz w:val="32"/>
          <w:szCs w:val="32"/>
        </w:rPr>
        <w:br w:type="page"/>
      </w:r>
      <w:r>
        <w:rPr>
          <w:rFonts w:hint="eastAsia" w:ascii="仿宋" w:hAnsi="仿宋" w:eastAsia="仿宋" w:cs="仿宋"/>
          <w:b/>
          <w:bCs/>
          <w:sz w:val="32"/>
          <w:szCs w:val="32"/>
        </w:rPr>
        <w:t>第一部分“资格性响应文件”格式</w:t>
      </w:r>
    </w:p>
    <w:p>
      <w:pPr>
        <w:spacing w:line="360" w:lineRule="auto"/>
        <w:jc w:val="center"/>
        <w:rPr>
          <w:rFonts w:ascii="仿宋" w:hAnsi="仿宋" w:eastAsia="仿宋"/>
          <w:b/>
          <w:bCs/>
          <w:sz w:val="32"/>
          <w:szCs w:val="32"/>
        </w:rPr>
      </w:pPr>
    </w:p>
    <w:p>
      <w:pPr>
        <w:spacing w:line="360" w:lineRule="auto"/>
        <w:jc w:val="right"/>
        <w:rPr>
          <w:rFonts w:ascii="仿宋" w:hAnsi="仿宋" w:eastAsia="仿宋"/>
          <w:b/>
          <w:bCs/>
          <w:sz w:val="36"/>
          <w:szCs w:val="36"/>
        </w:rPr>
      </w:pPr>
      <w:r>
        <w:rPr>
          <w:rFonts w:hint="eastAsia" w:ascii="仿宋" w:hAnsi="仿宋" w:eastAsia="仿宋" w:cs="仿宋"/>
          <w:b/>
          <w:bCs/>
          <w:sz w:val="36"/>
          <w:szCs w:val="36"/>
        </w:rPr>
        <w:t>（正本</w:t>
      </w:r>
      <w:r>
        <w:rPr>
          <w:rFonts w:ascii="仿宋" w:hAnsi="仿宋" w:eastAsia="仿宋" w:cs="仿宋"/>
          <w:b/>
          <w:bCs/>
          <w:sz w:val="36"/>
          <w:szCs w:val="36"/>
        </w:rPr>
        <w:t>/</w:t>
      </w:r>
      <w:r>
        <w:rPr>
          <w:rFonts w:hint="eastAsia" w:ascii="仿宋" w:hAnsi="仿宋" w:eastAsia="仿宋" w:cs="仿宋"/>
          <w:b/>
          <w:bCs/>
          <w:sz w:val="36"/>
          <w:szCs w:val="36"/>
        </w:rPr>
        <w:t>副本）</w:t>
      </w:r>
    </w:p>
    <w:p>
      <w:pPr>
        <w:spacing w:line="360" w:lineRule="auto"/>
        <w:jc w:val="center"/>
        <w:rPr>
          <w:rFonts w:ascii="仿宋" w:hAnsi="仿宋" w:eastAsia="仿宋"/>
          <w:b/>
          <w:bCs/>
          <w:sz w:val="72"/>
          <w:szCs w:val="72"/>
        </w:rPr>
      </w:pPr>
      <w:r>
        <w:rPr>
          <w:rFonts w:ascii="仿宋" w:hAnsi="仿宋" w:eastAsia="仿宋" w:cs="仿宋"/>
          <w:b/>
          <w:bCs/>
          <w:sz w:val="40"/>
          <w:szCs w:val="40"/>
          <w:u w:val="single"/>
        </w:rPr>
        <w:t>XX</w:t>
      </w:r>
      <w:r>
        <w:rPr>
          <w:rFonts w:hint="eastAsia" w:ascii="仿宋" w:hAnsi="仿宋" w:eastAsia="仿宋" w:cs="仿宋"/>
          <w:b/>
          <w:bCs/>
          <w:sz w:val="40"/>
          <w:szCs w:val="40"/>
        </w:rPr>
        <w:t>项目</w:t>
      </w:r>
    </w:p>
    <w:p>
      <w:pPr>
        <w:spacing w:line="360" w:lineRule="auto"/>
        <w:rPr>
          <w:rFonts w:ascii="仿宋" w:hAnsi="仿宋" w:eastAsia="仿宋"/>
          <w:b/>
          <w:bCs/>
          <w:sz w:val="52"/>
          <w:szCs w:val="52"/>
        </w:rPr>
      </w:pPr>
    </w:p>
    <w:p>
      <w:pPr>
        <w:spacing w:line="360" w:lineRule="auto"/>
        <w:jc w:val="center"/>
        <w:rPr>
          <w:rFonts w:ascii="仿宋" w:hAnsi="仿宋" w:eastAsia="仿宋"/>
          <w:b/>
          <w:bCs/>
          <w:sz w:val="32"/>
          <w:szCs w:val="32"/>
        </w:rPr>
      </w:pPr>
      <w:r>
        <w:rPr>
          <w:rFonts w:hint="eastAsia" w:ascii="仿宋" w:hAnsi="仿宋" w:eastAsia="仿宋" w:cs="仿宋"/>
          <w:b/>
          <w:bCs/>
          <w:sz w:val="52"/>
          <w:szCs w:val="52"/>
        </w:rPr>
        <w:t>资格性响应文件</w:t>
      </w:r>
    </w:p>
    <w:p>
      <w:pPr>
        <w:spacing w:line="360" w:lineRule="auto"/>
        <w:rPr>
          <w:rFonts w:ascii="仿宋" w:hAnsi="仿宋" w:eastAsia="仿宋"/>
          <w:b/>
          <w:bCs/>
          <w:sz w:val="36"/>
          <w:szCs w:val="36"/>
        </w:rPr>
      </w:pPr>
    </w:p>
    <w:p>
      <w:pPr>
        <w:spacing w:line="360" w:lineRule="auto"/>
        <w:rPr>
          <w:rFonts w:ascii="仿宋" w:hAnsi="仿宋" w:eastAsia="仿宋"/>
          <w:b/>
          <w:bCs/>
          <w:sz w:val="36"/>
          <w:szCs w:val="36"/>
        </w:rPr>
      </w:pPr>
    </w:p>
    <w:p>
      <w:pPr>
        <w:spacing w:line="360" w:lineRule="auto"/>
        <w:ind w:firstLine="643" w:firstLineChars="200"/>
        <w:jc w:val="left"/>
        <w:rPr>
          <w:rFonts w:ascii="仿宋" w:hAnsi="仿宋" w:eastAsia="仿宋"/>
          <w:b/>
          <w:bCs/>
          <w:sz w:val="32"/>
          <w:szCs w:val="32"/>
          <w:u w:val="single"/>
        </w:rPr>
      </w:pPr>
      <w:r>
        <w:rPr>
          <w:rFonts w:hint="eastAsia" w:ascii="仿宋" w:hAnsi="仿宋" w:eastAsia="仿宋" w:cs="仿宋"/>
          <w:b/>
          <w:bCs/>
          <w:sz w:val="32"/>
          <w:szCs w:val="32"/>
        </w:rPr>
        <w:t>供应商名称：</w:t>
      </w:r>
    </w:p>
    <w:p>
      <w:pPr>
        <w:spacing w:line="360" w:lineRule="auto"/>
        <w:ind w:firstLine="643" w:firstLineChars="200"/>
        <w:jc w:val="left"/>
        <w:rPr>
          <w:rFonts w:ascii="仿宋" w:hAnsi="仿宋" w:eastAsia="仿宋"/>
          <w:b/>
          <w:bCs/>
          <w:sz w:val="32"/>
          <w:szCs w:val="32"/>
          <w:u w:val="single"/>
        </w:rPr>
      </w:pPr>
      <w:r>
        <w:rPr>
          <w:rFonts w:hint="eastAsia" w:ascii="仿宋" w:hAnsi="仿宋" w:eastAsia="仿宋" w:cs="仿宋"/>
          <w:b/>
          <w:bCs/>
          <w:sz w:val="32"/>
          <w:szCs w:val="32"/>
        </w:rPr>
        <w:t>采购项目编号：</w:t>
      </w:r>
    </w:p>
    <w:p>
      <w:pPr>
        <w:spacing w:line="360" w:lineRule="auto"/>
        <w:jc w:val="center"/>
        <w:rPr>
          <w:rFonts w:ascii="仿宋" w:hAnsi="仿宋" w:eastAsia="仿宋"/>
          <w:b/>
          <w:bCs/>
          <w:sz w:val="36"/>
          <w:szCs w:val="36"/>
        </w:rPr>
      </w:pPr>
    </w:p>
    <w:p>
      <w:pPr>
        <w:pStyle w:val="17"/>
        <w:rPr>
          <w:rFonts w:ascii="仿宋" w:hAnsi="仿宋" w:eastAsia="仿宋"/>
          <w:b/>
          <w:bCs/>
          <w:sz w:val="36"/>
          <w:szCs w:val="36"/>
        </w:rPr>
      </w:pPr>
    </w:p>
    <w:p>
      <w:pPr>
        <w:rPr>
          <w:rFonts w:ascii="仿宋" w:hAnsi="仿宋" w:eastAsia="仿宋"/>
          <w:b/>
          <w:bCs/>
          <w:sz w:val="36"/>
          <w:szCs w:val="36"/>
        </w:rPr>
      </w:pPr>
    </w:p>
    <w:p>
      <w:pPr>
        <w:pStyle w:val="17"/>
        <w:rPr>
          <w:rFonts w:ascii="仿宋" w:hAnsi="仿宋" w:eastAsia="仿宋"/>
          <w:b/>
          <w:bCs/>
          <w:sz w:val="36"/>
          <w:szCs w:val="36"/>
        </w:rPr>
      </w:pPr>
    </w:p>
    <w:p>
      <w:pPr>
        <w:rPr>
          <w:rFonts w:ascii="仿宋" w:hAnsi="仿宋" w:eastAsia="仿宋"/>
          <w:b/>
          <w:bCs/>
          <w:sz w:val="36"/>
          <w:szCs w:val="36"/>
        </w:rPr>
      </w:pPr>
    </w:p>
    <w:p>
      <w:pPr>
        <w:pStyle w:val="17"/>
        <w:rPr>
          <w:rFonts w:ascii="仿宋" w:hAnsi="仿宋" w:eastAsia="仿宋"/>
          <w:b/>
          <w:bCs/>
          <w:sz w:val="36"/>
          <w:szCs w:val="36"/>
        </w:rPr>
      </w:pPr>
    </w:p>
    <w:p>
      <w:pPr>
        <w:rPr>
          <w:rFonts w:ascii="仿宋" w:hAnsi="仿宋" w:eastAsia="仿宋"/>
          <w:b/>
          <w:bCs/>
          <w:sz w:val="36"/>
          <w:szCs w:val="36"/>
        </w:rPr>
      </w:pPr>
    </w:p>
    <w:p>
      <w:pPr>
        <w:pStyle w:val="17"/>
      </w:pPr>
    </w:p>
    <w:p>
      <w:pPr>
        <w:spacing w:line="360" w:lineRule="auto"/>
        <w:jc w:val="center"/>
        <w:rPr>
          <w:rFonts w:ascii="仿宋" w:hAnsi="仿宋" w:eastAsia="仿宋"/>
          <w:b/>
          <w:bCs/>
          <w:sz w:val="36"/>
          <w:szCs w:val="36"/>
        </w:rPr>
      </w:pPr>
    </w:p>
    <w:p>
      <w:pPr>
        <w:spacing w:line="360" w:lineRule="auto"/>
        <w:jc w:val="center"/>
        <w:rPr>
          <w:rFonts w:ascii="仿宋" w:hAnsi="仿宋" w:eastAsia="仿宋"/>
          <w:b/>
          <w:bCs/>
          <w:sz w:val="32"/>
          <w:szCs w:val="32"/>
        </w:rPr>
      </w:pPr>
      <w:r>
        <w:rPr>
          <w:rFonts w:ascii="仿宋" w:hAnsi="仿宋" w:eastAsia="仿宋" w:cs="仿宋"/>
          <w:b/>
          <w:bCs/>
          <w:sz w:val="32"/>
          <w:szCs w:val="32"/>
        </w:rPr>
        <w:t>XX</w:t>
      </w:r>
      <w:r>
        <w:rPr>
          <w:rFonts w:hint="eastAsia" w:ascii="仿宋" w:hAnsi="仿宋" w:eastAsia="仿宋" w:cs="仿宋"/>
          <w:b/>
          <w:bCs/>
          <w:sz w:val="32"/>
          <w:szCs w:val="32"/>
        </w:rPr>
        <w:t>年</w:t>
      </w:r>
      <w:r>
        <w:rPr>
          <w:rFonts w:ascii="仿宋" w:hAnsi="仿宋" w:eastAsia="仿宋" w:cs="仿宋"/>
          <w:b/>
          <w:bCs/>
          <w:sz w:val="32"/>
          <w:szCs w:val="32"/>
        </w:rPr>
        <w:t>XX</w:t>
      </w:r>
      <w:r>
        <w:rPr>
          <w:rFonts w:hint="eastAsia" w:ascii="仿宋" w:hAnsi="仿宋" w:eastAsia="仿宋" w:cs="仿宋"/>
          <w:b/>
          <w:bCs/>
          <w:sz w:val="32"/>
          <w:szCs w:val="32"/>
        </w:rPr>
        <w:t>月</w:t>
      </w:r>
      <w:r>
        <w:rPr>
          <w:rFonts w:ascii="仿宋" w:hAnsi="仿宋" w:eastAsia="仿宋" w:cs="仿宋"/>
          <w:b/>
          <w:bCs/>
          <w:sz w:val="32"/>
          <w:szCs w:val="32"/>
        </w:rPr>
        <w:t>XX</w:t>
      </w:r>
      <w:r>
        <w:rPr>
          <w:rFonts w:hint="eastAsia" w:ascii="仿宋" w:hAnsi="仿宋" w:eastAsia="仿宋" w:cs="仿宋"/>
          <w:b/>
          <w:bCs/>
          <w:sz w:val="32"/>
          <w:szCs w:val="32"/>
        </w:rPr>
        <w:t>日</w:t>
      </w:r>
    </w:p>
    <w:p>
      <w:pPr>
        <w:widowControl/>
        <w:jc w:val="left"/>
        <w:rPr>
          <w:rFonts w:ascii="仿宋" w:hAnsi="仿宋" w:eastAsia="仿宋" w:cs="仿宋"/>
          <w:b/>
          <w:bCs/>
          <w:sz w:val="28"/>
          <w:szCs w:val="28"/>
        </w:rPr>
      </w:pPr>
      <w:r>
        <w:rPr>
          <w:rFonts w:ascii="仿宋" w:hAnsi="仿宋" w:eastAsia="仿宋"/>
          <w:b/>
          <w:bCs/>
          <w:sz w:val="32"/>
          <w:szCs w:val="32"/>
        </w:rPr>
        <w:br w:type="page"/>
      </w:r>
      <w:r>
        <w:rPr>
          <w:rFonts w:hint="eastAsia" w:ascii="仿宋" w:hAnsi="仿宋" w:eastAsia="仿宋" w:cs="仿宋"/>
          <w:b/>
          <w:bCs/>
          <w:sz w:val="28"/>
          <w:szCs w:val="28"/>
        </w:rPr>
        <w:t>格式</w:t>
      </w:r>
      <w:r>
        <w:rPr>
          <w:rFonts w:ascii="仿宋" w:hAnsi="仿宋" w:eastAsia="仿宋" w:cs="仿宋"/>
          <w:b/>
          <w:bCs/>
          <w:sz w:val="28"/>
          <w:szCs w:val="28"/>
        </w:rPr>
        <w:t>1-1</w:t>
      </w:r>
    </w:p>
    <w:p>
      <w:pPr>
        <w:jc w:val="center"/>
        <w:rPr>
          <w:b/>
          <w:color w:val="000000"/>
          <w:sz w:val="32"/>
          <w:szCs w:val="32"/>
        </w:rPr>
      </w:pPr>
      <w:r>
        <w:rPr>
          <w:rFonts w:hint="eastAsia"/>
          <w:b/>
          <w:color w:val="000000"/>
          <w:sz w:val="32"/>
          <w:szCs w:val="32"/>
        </w:rPr>
        <w:t>一</w:t>
      </w:r>
      <w:r>
        <w:rPr>
          <w:rFonts w:hint="eastAsia" w:ascii="仿宋" w:hAnsi="仿宋" w:eastAsia="仿宋" w:cs="仿宋"/>
          <w:b/>
          <w:bCs/>
          <w:sz w:val="32"/>
          <w:szCs w:val="32"/>
        </w:rPr>
        <w:t>、</w:t>
      </w:r>
      <w:r>
        <w:rPr>
          <w:rFonts w:hint="eastAsia"/>
          <w:b/>
          <w:color w:val="000000"/>
          <w:sz w:val="32"/>
          <w:szCs w:val="32"/>
        </w:rPr>
        <w:t>法定代表人（主要负责人/经营者）授权书</w:t>
      </w:r>
    </w:p>
    <w:p>
      <w:pPr>
        <w:spacing w:line="400" w:lineRule="exact"/>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szCs w:val="32"/>
          <w:lang w:val="zh-CN"/>
        </w:rPr>
        <w:t>四川省都江堰水利发展中心</w:t>
      </w:r>
      <w:r>
        <w:rPr>
          <w:rFonts w:hint="eastAsia" w:ascii="仿宋_GB2312" w:hAnsi="仿宋_GB2312" w:eastAsia="仿宋_GB2312" w:cs="仿宋_GB2312"/>
          <w:color w:val="000000"/>
          <w:sz w:val="24"/>
        </w:rPr>
        <w:t>：</w:t>
      </w:r>
    </w:p>
    <w:p>
      <w:pPr>
        <w:spacing w:line="400" w:lineRule="exact"/>
        <w:ind w:firstLine="480" w:firstLineChars="200"/>
        <w:rPr>
          <w:rFonts w:ascii="仿宋_GB2312" w:hAnsi="仿宋_GB2312" w:eastAsia="仿宋_GB2312" w:cs="仿宋_GB2312"/>
          <w:color w:val="000000"/>
          <w:sz w:val="24"/>
        </w:rPr>
      </w:pPr>
    </w:p>
    <w:p>
      <w:pPr>
        <w:spacing w:line="400" w:lineRule="exact"/>
        <w:ind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本授权声</w:t>
      </w:r>
      <w:r>
        <w:rPr>
          <w:rFonts w:hint="eastAsia" w:ascii="仿宋_GB2312" w:hAnsi="仿宋_GB2312" w:eastAsia="仿宋_GB2312" w:cs="仿宋_GB2312"/>
          <w:color w:val="000000"/>
          <w:sz w:val="24"/>
          <w:highlight w:val="none"/>
        </w:rPr>
        <w:t>明：</w:t>
      </w:r>
      <w:r>
        <w:rPr>
          <w:rFonts w:hint="eastAsia" w:ascii="仿宋_GB2312" w:hAnsi="仿宋_GB2312" w:eastAsia="仿宋_GB2312" w:cs="仿宋_GB2312"/>
          <w:color w:val="000000"/>
          <w:sz w:val="24"/>
          <w:highlight w:val="none"/>
          <w:u w:val="single"/>
        </w:rPr>
        <w:t>（单位名称）</w:t>
      </w:r>
      <w:r>
        <w:rPr>
          <w:rFonts w:ascii="仿宋_GB2312" w:hAnsi="仿宋_GB2312" w:eastAsia="仿宋_GB2312" w:cs="仿宋_GB2312"/>
          <w:color w:val="000000"/>
          <w:sz w:val="24"/>
          <w:highlight w:val="none"/>
        </w:rPr>
        <w:t>,</w:t>
      </w:r>
      <w:r>
        <w:rPr>
          <w:rFonts w:hint="eastAsia" w:ascii="仿宋_GB2312" w:hAnsi="仿宋_GB2312" w:eastAsia="仿宋_GB2312" w:cs="仿宋_GB2312"/>
          <w:color w:val="000000"/>
          <w:sz w:val="24"/>
          <w:highlight w:val="none"/>
          <w:u w:val="single"/>
        </w:rPr>
        <w:t>法定代表人（主要负责人、经营者）姓名</w:t>
      </w:r>
      <w:r>
        <w:rPr>
          <w:rFonts w:hint="eastAsia" w:ascii="仿宋_GB2312" w:hAnsi="仿宋_GB2312" w:eastAsia="仿宋_GB2312" w:cs="仿宋_GB2312"/>
          <w:color w:val="000000"/>
          <w:sz w:val="24"/>
          <w:highlight w:val="none"/>
        </w:rPr>
        <w:t>授权</w:t>
      </w:r>
      <w:r>
        <w:rPr>
          <w:rFonts w:hint="eastAsia" w:ascii="仿宋_GB2312" w:hAnsi="仿宋_GB2312" w:eastAsia="仿宋_GB2312" w:cs="仿宋_GB2312"/>
          <w:color w:val="000000"/>
          <w:sz w:val="24"/>
          <w:highlight w:val="none"/>
          <w:u w:val="single"/>
        </w:rPr>
        <w:t>（被授权人姓名）</w:t>
      </w:r>
      <w:r>
        <w:rPr>
          <w:rFonts w:hint="eastAsia" w:ascii="仿宋_GB2312" w:hAnsi="仿宋_GB2312" w:eastAsia="仿宋_GB2312" w:cs="仿宋_GB2312"/>
          <w:color w:val="000000"/>
          <w:sz w:val="24"/>
          <w:highlight w:val="none"/>
        </w:rPr>
        <w:t>为我方参加项目（项目编号：</w:t>
      </w:r>
      <w:r>
        <w:rPr>
          <w:rFonts w:hint="eastAsia" w:ascii="仿宋_GB2312" w:hAnsi="仿宋_GB2312" w:eastAsia="仿宋_GB2312" w:cs="仿宋_GB2312"/>
          <w:color w:val="000000"/>
          <w:sz w:val="24"/>
          <w:highlight w:val="none"/>
          <w:u w:val="single"/>
        </w:rPr>
        <w:t xml:space="preserve">         </w:t>
      </w:r>
      <w:r>
        <w:rPr>
          <w:rFonts w:hint="eastAsia" w:ascii="仿宋_GB2312" w:hAnsi="仿宋_GB2312" w:eastAsia="仿宋_GB2312" w:cs="仿宋_GB2312"/>
          <w:color w:val="000000"/>
          <w:sz w:val="24"/>
          <w:highlight w:val="none"/>
        </w:rPr>
        <w:t>）竞争性谈判采购活动的合法代表，以我方名义全权</w:t>
      </w:r>
      <w:r>
        <w:rPr>
          <w:rFonts w:hint="eastAsia" w:ascii="仿宋_GB2312" w:hAnsi="仿宋_GB2312" w:eastAsia="仿宋_GB2312" w:cs="仿宋_GB2312"/>
          <w:color w:val="000000"/>
          <w:sz w:val="24"/>
        </w:rPr>
        <w:t>处理该项目有关谈判、报价、签订合同以及执行合同等一切事宜。</w:t>
      </w:r>
    </w:p>
    <w:p>
      <w:pPr>
        <w:spacing w:line="400" w:lineRule="exact"/>
        <w:ind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特此声明。</w:t>
      </w:r>
    </w:p>
    <w:p>
      <w:pPr>
        <w:spacing w:line="400" w:lineRule="exact"/>
        <w:ind w:firstLine="480" w:firstLineChars="200"/>
        <w:rPr>
          <w:rFonts w:ascii="仿宋_GB2312" w:hAnsi="仿宋_GB2312" w:eastAsia="仿宋_GB2312" w:cs="仿宋_GB2312"/>
          <w:color w:val="000000"/>
          <w:sz w:val="24"/>
        </w:rPr>
      </w:pPr>
    </w:p>
    <w:p>
      <w:pPr>
        <w:spacing w:line="4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供应商名称：</w:t>
      </w:r>
      <w:r>
        <w:rPr>
          <w:rFonts w:hint="eastAsia" w:ascii="仿宋_GB2312" w:hAnsi="仿宋_GB2312" w:eastAsia="仿宋_GB2312" w:cs="仿宋_GB2312"/>
          <w:color w:val="000000"/>
          <w:sz w:val="24"/>
          <w:u w:val="single"/>
        </w:rPr>
        <w:t>（盖单位公章）</w:t>
      </w:r>
    </w:p>
    <w:p>
      <w:pPr>
        <w:spacing w:line="4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法定代表人（主要负责人、经营者）签字或</w:t>
      </w:r>
      <w:r>
        <w:rPr>
          <w:rFonts w:hint="eastAsia" w:ascii="仿宋_GB2312" w:hAnsi="仿宋_GB2312" w:eastAsia="仿宋_GB2312" w:cs="仿宋_GB2312"/>
          <w:bCs/>
          <w:color w:val="000000"/>
          <w:sz w:val="24"/>
        </w:rPr>
        <w:t>加盖印章</w:t>
      </w:r>
      <w:r>
        <w:rPr>
          <w:rFonts w:hint="eastAsia" w:ascii="仿宋_GB2312" w:hAnsi="仿宋_GB2312" w:eastAsia="仿宋_GB2312" w:cs="仿宋_GB2312"/>
          <w:color w:val="000000"/>
          <w:sz w:val="24"/>
        </w:rPr>
        <w:t>：</w:t>
      </w:r>
    </w:p>
    <w:p>
      <w:pPr>
        <w:spacing w:line="4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职务：</w:t>
      </w:r>
    </w:p>
    <w:p>
      <w:pPr>
        <w:spacing w:line="4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被授权人签字或</w:t>
      </w:r>
      <w:r>
        <w:rPr>
          <w:rFonts w:hint="eastAsia" w:ascii="仿宋_GB2312" w:hAnsi="仿宋_GB2312" w:eastAsia="仿宋_GB2312" w:cs="仿宋_GB2312"/>
          <w:bCs/>
          <w:color w:val="000000"/>
          <w:sz w:val="24"/>
        </w:rPr>
        <w:t>加盖印章</w:t>
      </w:r>
      <w:r>
        <w:rPr>
          <w:rFonts w:hint="eastAsia" w:ascii="仿宋_GB2312" w:hAnsi="仿宋_GB2312" w:eastAsia="仿宋_GB2312" w:cs="仿宋_GB2312"/>
          <w:color w:val="000000"/>
          <w:sz w:val="24"/>
        </w:rPr>
        <w:t>：</w:t>
      </w:r>
    </w:p>
    <w:p>
      <w:pPr>
        <w:spacing w:line="4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职务：</w:t>
      </w:r>
    </w:p>
    <w:p>
      <w:pPr>
        <w:spacing w:line="4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日期：</w:t>
      </w:r>
    </w:p>
    <w:p>
      <w:pPr>
        <w:spacing w:line="400" w:lineRule="exact"/>
        <w:rPr>
          <w:rFonts w:ascii="仿宋_GB2312" w:hAnsi="仿宋_GB2312" w:eastAsia="仿宋_GB2312" w:cs="仿宋_GB2312"/>
          <w:color w:val="000000"/>
          <w:sz w:val="24"/>
        </w:rPr>
      </w:pPr>
    </w:p>
    <w:p>
      <w:pPr>
        <w:widowControl/>
        <w:tabs>
          <w:tab w:val="left" w:pos="720"/>
          <w:tab w:val="left" w:pos="6300"/>
        </w:tabs>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说明：</w:t>
      </w:r>
    </w:p>
    <w:p>
      <w:pPr>
        <w:widowControl/>
        <w:tabs>
          <w:tab w:val="left" w:pos="720"/>
          <w:tab w:val="left" w:pos="6300"/>
        </w:tabs>
        <w:spacing w:line="360" w:lineRule="auto"/>
        <w:ind w:firstLine="573"/>
        <w:jc w:val="left"/>
        <w:rPr>
          <w:rFonts w:ascii="仿宋_GB2312" w:hAnsi="仿宋_GB2312" w:eastAsia="仿宋_GB2312" w:cs="仿宋_GB2312"/>
          <w:color w:val="000000"/>
          <w:sz w:val="24"/>
        </w:rPr>
      </w:pPr>
      <w:r>
        <w:rPr>
          <w:rFonts w:ascii="仿宋_GB2312" w:hAnsi="仿宋_GB2312" w:eastAsia="仿宋_GB2312" w:cs="仿宋_GB2312"/>
          <w:color w:val="000000"/>
          <w:sz w:val="24"/>
        </w:rPr>
        <w:t>1.</w:t>
      </w:r>
      <w:r>
        <w:rPr>
          <w:rFonts w:hint="eastAsia" w:ascii="仿宋_GB2312" w:hAnsi="仿宋_GB2312" w:eastAsia="仿宋_GB2312" w:cs="仿宋_GB2312"/>
          <w:color w:val="000000"/>
          <w:sz w:val="24"/>
        </w:rPr>
        <w:t>供应商为法人的提供法定代表人授权书，其余提供</w:t>
      </w:r>
      <w:r>
        <w:rPr>
          <w:rFonts w:hint="eastAsia" w:ascii="仿宋_GB2312" w:hAnsi="仿宋_GB2312" w:eastAsia="仿宋_GB2312" w:cs="仿宋_GB2312"/>
          <w:color w:val="000000"/>
          <w:sz w:val="24"/>
          <w:lang w:val="zh-CN"/>
        </w:rPr>
        <w:t>主要负责人</w:t>
      </w:r>
      <w:r>
        <w:rPr>
          <w:rFonts w:ascii="仿宋_GB2312" w:hAnsi="仿宋_GB2312" w:eastAsia="仿宋_GB2312" w:cs="仿宋_GB2312"/>
          <w:color w:val="000000"/>
          <w:sz w:val="24"/>
          <w:lang w:val="zh-CN"/>
        </w:rPr>
        <w:t>/</w:t>
      </w:r>
      <w:r>
        <w:rPr>
          <w:rFonts w:hint="eastAsia" w:ascii="仿宋_GB2312" w:hAnsi="仿宋_GB2312" w:eastAsia="仿宋_GB2312" w:cs="仿宋_GB2312"/>
          <w:color w:val="000000"/>
          <w:sz w:val="24"/>
          <w:lang w:val="zh-CN"/>
        </w:rPr>
        <w:t>经营者</w:t>
      </w:r>
      <w:r>
        <w:rPr>
          <w:rFonts w:hint="eastAsia" w:ascii="仿宋_GB2312" w:hAnsi="仿宋_GB2312" w:eastAsia="仿宋_GB2312" w:cs="仿宋_GB2312"/>
          <w:color w:val="000000"/>
          <w:sz w:val="24"/>
        </w:rPr>
        <w:t>授权书。</w:t>
      </w:r>
    </w:p>
    <w:p>
      <w:pPr>
        <w:widowControl/>
        <w:tabs>
          <w:tab w:val="left" w:pos="720"/>
          <w:tab w:val="left" w:pos="6300"/>
        </w:tabs>
        <w:spacing w:line="360" w:lineRule="auto"/>
        <w:ind w:firstLine="573"/>
        <w:jc w:val="left"/>
        <w:rPr>
          <w:rFonts w:ascii="仿宋_GB2312" w:hAnsi="仿宋_GB2312" w:eastAsia="仿宋_GB2312" w:cs="仿宋_GB2312"/>
          <w:color w:val="000000"/>
          <w:sz w:val="24"/>
        </w:rPr>
      </w:pPr>
      <w:r>
        <w:rPr>
          <w:rFonts w:ascii="仿宋_GB2312" w:hAnsi="仿宋_GB2312" w:eastAsia="仿宋_GB2312" w:cs="仿宋_GB2312"/>
          <w:color w:val="000000"/>
          <w:sz w:val="24"/>
        </w:rPr>
        <w:t>2.</w:t>
      </w:r>
      <w:r>
        <w:rPr>
          <w:rFonts w:hint="eastAsia" w:ascii="仿宋_GB2312" w:hAnsi="仿宋_GB2312" w:eastAsia="仿宋_GB2312" w:cs="仿宋_GB2312"/>
          <w:color w:val="000000"/>
          <w:sz w:val="24"/>
        </w:rPr>
        <w:t>授权书附有</w:t>
      </w:r>
      <w:r>
        <w:rPr>
          <w:rFonts w:hint="eastAsia" w:ascii="仿宋_GB2312" w:hAnsi="仿宋_GB2312" w:eastAsia="仿宋_GB2312" w:cs="仿宋_GB2312"/>
          <w:color w:val="000000"/>
          <w:sz w:val="24"/>
          <w:lang w:val="zh-CN"/>
        </w:rPr>
        <w:t>法定代表人（主要负责人、经营者）</w:t>
      </w:r>
      <w:r>
        <w:rPr>
          <w:rFonts w:hint="eastAsia" w:ascii="仿宋_GB2312" w:hAnsi="仿宋_GB2312" w:eastAsia="仿宋_GB2312" w:cs="仿宋_GB2312"/>
          <w:color w:val="000000"/>
          <w:sz w:val="24"/>
        </w:rPr>
        <w:t>身份证明材料复印件为有效。</w:t>
      </w:r>
    </w:p>
    <w:p>
      <w:pPr>
        <w:widowControl/>
        <w:tabs>
          <w:tab w:val="left" w:pos="720"/>
          <w:tab w:val="left" w:pos="6300"/>
        </w:tabs>
        <w:spacing w:line="360" w:lineRule="auto"/>
        <w:ind w:firstLine="573"/>
        <w:jc w:val="left"/>
        <w:rPr>
          <w:rFonts w:ascii="仿宋_GB2312" w:hAnsi="仿宋_GB2312" w:eastAsia="仿宋_GB2312" w:cs="仿宋_GB2312"/>
          <w:color w:val="000000"/>
          <w:sz w:val="24"/>
        </w:rPr>
      </w:pPr>
      <w:r>
        <w:rPr>
          <w:rFonts w:ascii="仿宋_GB2312" w:hAnsi="仿宋_GB2312" w:eastAsia="仿宋_GB2312" w:cs="仿宋_GB2312"/>
          <w:color w:val="000000"/>
          <w:sz w:val="24"/>
        </w:rPr>
        <w:t>3.</w:t>
      </w:r>
      <w:r>
        <w:rPr>
          <w:rFonts w:hint="eastAsia" w:ascii="仿宋_GB2312" w:hAnsi="仿宋_GB2312" w:eastAsia="仿宋_GB2312" w:cs="仿宋_GB2312"/>
          <w:color w:val="000000"/>
          <w:sz w:val="24"/>
        </w:rPr>
        <w:t>身份证明材料包括居民身份证或户口本或军官证或护照等。</w:t>
      </w:r>
    </w:p>
    <w:p>
      <w:pPr>
        <w:widowControl/>
        <w:tabs>
          <w:tab w:val="left" w:pos="720"/>
          <w:tab w:val="left" w:pos="6300"/>
        </w:tabs>
        <w:spacing w:line="360" w:lineRule="auto"/>
        <w:ind w:firstLine="573"/>
        <w:jc w:val="left"/>
        <w:rPr>
          <w:rFonts w:ascii="仿宋_GB2312" w:hAnsi="仿宋_GB2312" w:eastAsia="仿宋_GB2312" w:cs="仿宋_GB2312"/>
          <w:color w:val="000000"/>
          <w:sz w:val="24"/>
        </w:rPr>
      </w:pPr>
      <w:r>
        <w:rPr>
          <w:rFonts w:ascii="仿宋_GB2312" w:hAnsi="仿宋_GB2312" w:eastAsia="仿宋_GB2312" w:cs="仿宋_GB2312"/>
          <w:color w:val="000000"/>
          <w:sz w:val="24"/>
        </w:rPr>
        <w:t>4.</w:t>
      </w:r>
      <w:r>
        <w:rPr>
          <w:rFonts w:hint="eastAsia" w:ascii="仿宋_GB2312" w:hAnsi="仿宋_GB2312" w:eastAsia="仿宋_GB2312" w:cs="仿宋_GB2312"/>
          <w:color w:val="000000"/>
          <w:sz w:val="24"/>
        </w:rPr>
        <w:t>供应商为自然人时只需提供身份证明材料即可。</w:t>
      </w:r>
    </w:p>
    <w:p>
      <w:pPr>
        <w:widowControl/>
        <w:tabs>
          <w:tab w:val="left" w:pos="720"/>
          <w:tab w:val="left" w:pos="6300"/>
        </w:tabs>
        <w:spacing w:line="360" w:lineRule="auto"/>
        <w:ind w:firstLine="573"/>
        <w:jc w:val="left"/>
        <w:rPr>
          <w:rFonts w:ascii="仿宋_GB2312" w:hAnsi="仿宋_GB2312" w:eastAsia="仿宋_GB2312" w:cs="仿宋_GB2312"/>
          <w:color w:val="000000"/>
          <w:sz w:val="24"/>
        </w:rPr>
      </w:pPr>
      <w:r>
        <w:rPr>
          <w:rFonts w:ascii="仿宋_GB2312" w:hAnsi="仿宋_GB2312" w:eastAsia="仿宋_GB2312" w:cs="仿宋_GB2312"/>
          <w:color w:val="000000"/>
          <w:sz w:val="24"/>
        </w:rPr>
        <w:t>5.</w:t>
      </w:r>
      <w:r>
        <w:rPr>
          <w:rFonts w:hint="eastAsia" w:ascii="仿宋_GB2312" w:hAnsi="仿宋_GB2312" w:eastAsia="仿宋_GB2312" w:cs="仿宋_GB2312"/>
          <w:color w:val="000000"/>
          <w:sz w:val="24"/>
        </w:rPr>
        <w:t>身份证明材料如发证机关有年检</w:t>
      </w:r>
      <w:r>
        <w:rPr>
          <w:rFonts w:ascii="仿宋_GB2312" w:hAnsi="仿宋_GB2312" w:eastAsia="仿宋_GB2312" w:cs="仿宋_GB2312"/>
          <w:color w:val="000000"/>
          <w:sz w:val="24"/>
        </w:rPr>
        <w:t>/</w:t>
      </w:r>
      <w:r>
        <w:rPr>
          <w:rFonts w:hint="eastAsia" w:ascii="仿宋_GB2312" w:hAnsi="仿宋_GB2312" w:eastAsia="仿宋_GB2312" w:cs="仿宋_GB2312"/>
          <w:color w:val="000000"/>
          <w:sz w:val="24"/>
        </w:rPr>
        <w:t>审要求的则应通过年检</w:t>
      </w:r>
      <w:r>
        <w:rPr>
          <w:rFonts w:ascii="仿宋_GB2312" w:hAnsi="仿宋_GB2312" w:eastAsia="仿宋_GB2312" w:cs="仿宋_GB2312"/>
          <w:color w:val="000000"/>
          <w:sz w:val="24"/>
        </w:rPr>
        <w:t>/</w:t>
      </w:r>
      <w:r>
        <w:rPr>
          <w:rFonts w:hint="eastAsia" w:ascii="仿宋_GB2312" w:hAnsi="仿宋_GB2312" w:eastAsia="仿宋_GB2312" w:cs="仿宋_GB2312"/>
          <w:color w:val="000000"/>
          <w:sz w:val="24"/>
        </w:rPr>
        <w:t>审，如有有效期的则应提供在有效期内的证明材料，如居民身份证正、反面复印件。</w:t>
      </w:r>
    </w:p>
    <w:p>
      <w:pPr>
        <w:rPr>
          <w:rFonts w:ascii="仿宋_GB2312" w:hAnsi="仿宋_GB2312" w:eastAsia="仿宋_GB2312" w:cs="仿宋_GB2312"/>
          <w:color w:val="000000"/>
          <w:sz w:val="24"/>
          <w:lang w:val="zh-CN"/>
        </w:rPr>
      </w:pPr>
    </w:p>
    <w:p>
      <w:pPr>
        <w:rPr>
          <w:rFonts w:ascii="仿宋_GB2312" w:hAnsi="仿宋_GB2312" w:eastAsia="仿宋_GB2312" w:cs="仿宋_GB2312"/>
          <w:color w:val="000000"/>
        </w:rPr>
      </w:pPr>
      <w:r>
        <w:rPr>
          <w:rFonts w:hint="eastAsia" w:ascii="仿宋_GB2312" w:hAnsi="仿宋_GB2312" w:eastAsia="仿宋_GB2312" w:cs="仿宋_GB2312"/>
          <w:color w:val="000000"/>
          <w:sz w:val="24"/>
          <w:lang w:val="zh-CN"/>
        </w:rPr>
        <w:t>法定代表人</w:t>
      </w:r>
      <w:r>
        <w:rPr>
          <w:rFonts w:hint="eastAsia" w:ascii="仿宋_GB2312" w:hAnsi="仿宋_GB2312" w:eastAsia="仿宋_GB2312" w:cs="仿宋_GB2312"/>
          <w:color w:val="000000"/>
          <w:sz w:val="24"/>
        </w:rPr>
        <w:t>（主要负责人、经营者）身份证样式（仅供参考）</w:t>
      </w:r>
    </w:p>
    <w:p>
      <w:pPr>
        <w:widowControl/>
        <w:snapToGrid w:val="0"/>
        <w:spacing w:line="480" w:lineRule="atLeast"/>
        <w:jc w:val="left"/>
        <w:rPr>
          <w:rFonts w:ascii="宋体" w:hAnsi="宋体"/>
          <w:b/>
          <w:color w:val="000000"/>
          <w:kern w:val="0"/>
          <w:sz w:val="24"/>
        </w:rPr>
      </w:pPr>
      <w:r>
        <w:rPr>
          <w:rFonts w:ascii="宋体" w:hAnsi="宋体"/>
          <w:b/>
          <w:color w:val="000000"/>
          <w:kern w:val="0"/>
          <w:sz w:val="24"/>
        </w:rPr>
        <mc:AlternateContent>
          <mc:Choice Requires="wps">
            <w:drawing>
              <wp:anchor distT="0" distB="0" distL="114300" distR="114300" simplePos="0" relativeHeight="251661312" behindDoc="0" locked="0" layoutInCell="1" allowOverlap="1">
                <wp:simplePos x="0" y="0"/>
                <wp:positionH relativeFrom="column">
                  <wp:posOffset>2597150</wp:posOffset>
                </wp:positionH>
                <wp:positionV relativeFrom="paragraph">
                  <wp:posOffset>9525</wp:posOffset>
                </wp:positionV>
                <wp:extent cx="2405380" cy="1461770"/>
                <wp:effectExtent l="4445" t="4445" r="9525" b="19685"/>
                <wp:wrapTight wrapText="bothSides">
                  <wp:wrapPolygon>
                    <wp:start x="-40" y="-66"/>
                    <wp:lineTo x="-40" y="21328"/>
                    <wp:lineTo x="21514" y="21328"/>
                    <wp:lineTo x="21514" y="-66"/>
                    <wp:lineTo x="-40" y="-66"/>
                  </wp:wrapPolygon>
                </wp:wrapTight>
                <wp:docPr id="3" name="文本框 3"/>
                <wp:cNvGraphicFramePr/>
                <a:graphic xmlns:a="http://schemas.openxmlformats.org/drawingml/2006/main">
                  <a:graphicData uri="http://schemas.microsoft.com/office/word/2010/wordprocessingShape">
                    <wps:wsp>
                      <wps:cNvSpPr txBox="1"/>
                      <wps:spPr>
                        <a:xfrm>
                          <a:off x="0" y="0"/>
                          <a:ext cx="2405380" cy="146177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rPr>
                                <w:rFonts w:ascii="宋体" w:hAnsi="宋体"/>
                                <w:b/>
                                <w:lang w:val="zh-CN"/>
                              </w:rPr>
                            </w:pPr>
                          </w:p>
                          <w:p>
                            <w:pPr>
                              <w:rPr>
                                <w:rFonts w:ascii="宋体" w:hAnsi="宋体"/>
                                <w:b/>
                                <w:lang w:val="zh-CN"/>
                              </w:rPr>
                            </w:pPr>
                          </w:p>
                          <w:p>
                            <w:pPr>
                              <w:jc w:val="center"/>
                            </w:pPr>
                            <w:r>
                              <w:rPr>
                                <w:rFonts w:hint="eastAsia" w:ascii="宋体" w:hAnsi="宋体"/>
                                <w:b/>
                                <w:lang w:val="zh-CN"/>
                              </w:rPr>
                              <w:t>身份证复印件背面</w:t>
                            </w:r>
                          </w:p>
                        </w:txbxContent>
                      </wps:txbx>
                      <wps:bodyPr upright="1"/>
                    </wps:wsp>
                  </a:graphicData>
                </a:graphic>
              </wp:anchor>
            </w:drawing>
          </mc:Choice>
          <mc:Fallback>
            <w:pict>
              <v:shape id="_x0000_s1026" o:spid="_x0000_s1026" o:spt="202" type="#_x0000_t202" style="position:absolute;left:0pt;margin-left:204.5pt;margin-top:0.75pt;height:115.1pt;width:189.4pt;mso-wrap-distance-left:9pt;mso-wrap-distance-right:9pt;z-index:251661312;mso-width-relative:page;mso-height-relative:page;" fillcolor="#FFFFFF" filled="t" stroked="t" coordsize="21600,21600" wrapcoords="-40 -66 -40 21328 21514 21328 21514 -66 -40 -66" o:gfxdata="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mLh3fXAAAACQEAAA8AAAAA&#10;AAAAAQAgAAAAIgAAAGRycy9kb3ducmV2LnhtbFBLAQIUABQAAAAIAIdO4kDjbgQ1FQIAAEQEAAAO&#10;AAAAAAAAAAEAIAAAACYBAABkcnMvZTJvRG9jLnhtbFBLBQYAAAAABgAGAFkBAACtBQAAAAA=&#10;">
                <v:fill on="t" focussize="0,0"/>
                <v:stroke color="#000000" joinstyle="miter" dashstyle="dash"/>
                <v:imagedata o:title=""/>
                <o:lock v:ext="edit" aspectratio="f"/>
                <v:textbox>
                  <w:txbxContent>
                    <w:p>
                      <w:pPr>
                        <w:rPr>
                          <w:rFonts w:ascii="宋体" w:hAnsi="宋体"/>
                          <w:b/>
                          <w:lang w:val="zh-CN"/>
                        </w:rPr>
                      </w:pPr>
                    </w:p>
                    <w:p>
                      <w:pPr>
                        <w:rPr>
                          <w:rFonts w:ascii="宋体" w:hAnsi="宋体"/>
                          <w:b/>
                          <w:lang w:val="zh-CN"/>
                        </w:rPr>
                      </w:pPr>
                    </w:p>
                    <w:p>
                      <w:pPr>
                        <w:jc w:val="center"/>
                      </w:pPr>
                      <w:r>
                        <w:rPr>
                          <w:rFonts w:hint="eastAsia" w:ascii="宋体" w:hAnsi="宋体"/>
                          <w:b/>
                          <w:lang w:val="zh-CN"/>
                        </w:rPr>
                        <w:t>身份证复印件背面</w:t>
                      </w:r>
                    </w:p>
                  </w:txbxContent>
                </v:textbox>
                <w10:wrap type="tight"/>
              </v:shape>
            </w:pict>
          </mc:Fallback>
        </mc:AlternateContent>
      </w:r>
      <w:r>
        <w:rPr>
          <w:rFonts w:ascii="宋体" w:hAnsi="宋体"/>
          <w:b/>
          <w:color w:val="000000"/>
          <w:kern w:val="0"/>
          <w:sz w:val="24"/>
        </w:rPr>
        <mc:AlternateContent>
          <mc:Choice Requires="wps">
            <w:drawing>
              <wp:anchor distT="0" distB="0" distL="114300" distR="114300" simplePos="0" relativeHeight="251660288" behindDoc="1" locked="0" layoutInCell="1" allowOverlap="1">
                <wp:simplePos x="0" y="0"/>
                <wp:positionH relativeFrom="column">
                  <wp:posOffset>41275</wp:posOffset>
                </wp:positionH>
                <wp:positionV relativeFrom="paragraph">
                  <wp:posOffset>9525</wp:posOffset>
                </wp:positionV>
                <wp:extent cx="2405380" cy="1461770"/>
                <wp:effectExtent l="4445" t="4445" r="9525" b="19685"/>
                <wp:wrapTight wrapText="bothSides">
                  <wp:wrapPolygon>
                    <wp:start x="-40" y="-66"/>
                    <wp:lineTo x="-40" y="21328"/>
                    <wp:lineTo x="21514" y="21328"/>
                    <wp:lineTo x="21514" y="-66"/>
                    <wp:lineTo x="-40" y="-66"/>
                  </wp:wrapPolygon>
                </wp:wrapTight>
                <wp:docPr id="5" name="文本框 5"/>
                <wp:cNvGraphicFramePr/>
                <a:graphic xmlns:a="http://schemas.openxmlformats.org/drawingml/2006/main">
                  <a:graphicData uri="http://schemas.microsoft.com/office/word/2010/wordprocessingShape">
                    <wps:wsp>
                      <wps:cNvSpPr txBox="1"/>
                      <wps:spPr>
                        <a:xfrm>
                          <a:off x="0" y="0"/>
                          <a:ext cx="2405380" cy="146177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rPr>
                                <w:rFonts w:ascii="宋体" w:hAnsi="宋体"/>
                                <w:b/>
                                <w:lang w:val="zh-CN"/>
                              </w:rPr>
                            </w:pPr>
                          </w:p>
                          <w:p>
                            <w:pPr>
                              <w:rPr>
                                <w:rFonts w:ascii="宋体" w:hAnsi="宋体"/>
                                <w:b/>
                                <w:lang w:val="zh-CN"/>
                              </w:rPr>
                            </w:pPr>
                          </w:p>
                          <w:p>
                            <w:pPr>
                              <w:jc w:val="center"/>
                            </w:pPr>
                            <w:r>
                              <w:rPr>
                                <w:rFonts w:hint="eastAsia" w:ascii="宋体" w:hAnsi="宋体"/>
                                <w:b/>
                                <w:lang w:val="zh-CN"/>
                              </w:rPr>
                              <w:t>身份证复印件正面</w:t>
                            </w:r>
                          </w:p>
                        </w:txbxContent>
                      </wps:txbx>
                      <wps:bodyPr upright="1"/>
                    </wps:wsp>
                  </a:graphicData>
                </a:graphic>
              </wp:anchor>
            </w:drawing>
          </mc:Choice>
          <mc:Fallback>
            <w:pict>
              <v:shape id="_x0000_s1026" o:spid="_x0000_s1026" o:spt="202" type="#_x0000_t202" style="position:absolute;left:0pt;margin-left:3.25pt;margin-top:0.75pt;height:115.1pt;width:189.4pt;mso-wrap-distance-left:9pt;mso-wrap-distance-right:9pt;z-index:-251656192;mso-width-relative:page;mso-height-relative:page;" fillcolor="#FFFFFF" filled="t" stroked="t" coordsize="21600,21600" wrapcoords="-40 -66 -40 21328 21514 21328 21514 -66 -40 -66" o:gfxdata="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Pg2U/VAAAABwEAAA8AAAAAAAAA&#10;AQAgAAAAIgAAAGRycy9kb3ducmV2LnhtbFBLAQIUABQAAAAIAIdO4kAe2QkZFAIAAEQEAAAOAAAA&#10;AAAAAAEAIAAAACQBAABkcnMvZTJvRG9jLnhtbFBLBQYAAAAABgAGAFkBAACqBQAAAAA=&#10;">
                <v:fill on="t" focussize="0,0"/>
                <v:stroke color="#000000" joinstyle="miter" dashstyle="dash"/>
                <v:imagedata o:title=""/>
                <o:lock v:ext="edit" aspectratio="f"/>
                <v:textbox>
                  <w:txbxContent>
                    <w:p>
                      <w:pPr>
                        <w:rPr>
                          <w:rFonts w:ascii="宋体" w:hAnsi="宋体"/>
                          <w:b/>
                          <w:lang w:val="zh-CN"/>
                        </w:rPr>
                      </w:pPr>
                    </w:p>
                    <w:p>
                      <w:pPr>
                        <w:rPr>
                          <w:rFonts w:ascii="宋体" w:hAnsi="宋体"/>
                          <w:b/>
                          <w:lang w:val="zh-CN"/>
                        </w:rPr>
                      </w:pPr>
                    </w:p>
                    <w:p>
                      <w:pPr>
                        <w:jc w:val="center"/>
                      </w:pPr>
                      <w:r>
                        <w:rPr>
                          <w:rFonts w:hint="eastAsia" w:ascii="宋体" w:hAnsi="宋体"/>
                          <w:b/>
                          <w:lang w:val="zh-CN"/>
                        </w:rPr>
                        <w:t>身份证复印件正面</w:t>
                      </w:r>
                    </w:p>
                  </w:txbxContent>
                </v:textbox>
                <w10:wrap type="tight"/>
              </v:shape>
            </w:pict>
          </mc:Fallback>
        </mc:AlternateContent>
      </w:r>
    </w:p>
    <w:p>
      <w:pPr>
        <w:widowControl/>
        <w:snapToGrid w:val="0"/>
        <w:spacing w:line="480" w:lineRule="atLeast"/>
        <w:jc w:val="left"/>
        <w:rPr>
          <w:rFonts w:ascii="宋体" w:hAnsi="宋体"/>
          <w:b/>
          <w:color w:val="000000"/>
          <w:kern w:val="0"/>
          <w:sz w:val="24"/>
        </w:rPr>
      </w:pPr>
    </w:p>
    <w:p>
      <w:pPr>
        <w:widowControl/>
        <w:snapToGrid w:val="0"/>
        <w:spacing w:line="480" w:lineRule="atLeast"/>
        <w:jc w:val="left"/>
        <w:rPr>
          <w:rFonts w:ascii="宋体" w:hAnsi="宋体"/>
          <w:b/>
          <w:color w:val="000000"/>
          <w:kern w:val="0"/>
          <w:sz w:val="24"/>
        </w:rPr>
      </w:pPr>
    </w:p>
    <w:p>
      <w:pPr>
        <w:widowControl/>
        <w:snapToGrid w:val="0"/>
        <w:spacing w:line="480" w:lineRule="atLeast"/>
        <w:jc w:val="left"/>
        <w:rPr>
          <w:rFonts w:ascii="宋体" w:hAnsi="宋体"/>
          <w:b/>
          <w:color w:val="000000"/>
          <w:kern w:val="0"/>
          <w:sz w:val="24"/>
        </w:rPr>
      </w:pPr>
    </w:p>
    <w:p>
      <w:pPr>
        <w:spacing w:line="360" w:lineRule="auto"/>
        <w:rPr>
          <w:rFonts w:ascii="仿宋" w:hAnsi="仿宋" w:eastAsia="仿宋"/>
          <w:b/>
          <w:bCs/>
          <w:sz w:val="32"/>
          <w:szCs w:val="32"/>
        </w:rPr>
      </w:pPr>
      <w:r>
        <w:rPr>
          <w:rFonts w:hint="eastAsia" w:ascii="仿宋" w:hAnsi="仿宋" w:eastAsia="仿宋" w:cs="仿宋"/>
          <w:b/>
          <w:bCs/>
          <w:sz w:val="28"/>
          <w:szCs w:val="28"/>
        </w:rPr>
        <w:t>格式</w:t>
      </w:r>
      <w:r>
        <w:rPr>
          <w:rFonts w:ascii="仿宋" w:hAnsi="仿宋" w:eastAsia="仿宋" w:cs="仿宋"/>
          <w:b/>
          <w:bCs/>
          <w:sz w:val="28"/>
          <w:szCs w:val="28"/>
        </w:rPr>
        <w:t>1-</w:t>
      </w:r>
      <w:r>
        <w:rPr>
          <w:rFonts w:hint="eastAsia" w:ascii="仿宋" w:hAnsi="仿宋" w:eastAsia="仿宋" w:cs="仿宋"/>
          <w:b/>
          <w:bCs/>
          <w:sz w:val="28"/>
          <w:szCs w:val="28"/>
        </w:rPr>
        <w:t>2</w:t>
      </w:r>
    </w:p>
    <w:p>
      <w:pPr>
        <w:spacing w:line="360" w:lineRule="auto"/>
        <w:jc w:val="center"/>
        <w:rPr>
          <w:rFonts w:ascii="仿宋" w:hAnsi="仿宋" w:eastAsia="仿宋"/>
          <w:b/>
          <w:bCs/>
          <w:sz w:val="32"/>
          <w:szCs w:val="32"/>
        </w:rPr>
      </w:pPr>
      <w:r>
        <w:rPr>
          <w:rFonts w:hint="eastAsia" w:ascii="仿宋" w:hAnsi="仿宋" w:eastAsia="仿宋" w:cs="仿宋"/>
          <w:b/>
          <w:bCs/>
          <w:sz w:val="32"/>
          <w:szCs w:val="32"/>
        </w:rPr>
        <w:t>二、承诺函</w:t>
      </w:r>
    </w:p>
    <w:p>
      <w:pPr>
        <w:widowControl/>
        <w:spacing w:line="460" w:lineRule="exact"/>
        <w:jc w:val="left"/>
        <w:rPr>
          <w:rFonts w:ascii="仿宋_GB2312" w:hAnsi="仿宋_GB2312" w:eastAsia="仿宋_GB2312" w:cs="仿宋_GB2312"/>
          <w:sz w:val="30"/>
          <w:szCs w:val="30"/>
        </w:rPr>
      </w:pPr>
      <w:r>
        <w:rPr>
          <w:rFonts w:hint="eastAsia" w:ascii="仿宋_GB2312" w:hAnsi="仿宋_GB2312" w:eastAsia="仿宋_GB2312" w:cs="仿宋_GB2312"/>
          <w:sz w:val="30"/>
          <w:szCs w:val="30"/>
          <w:lang w:val="zh-CN"/>
        </w:rPr>
        <w:t>四川省都江堰水利发展中心</w:t>
      </w:r>
      <w:r>
        <w:rPr>
          <w:rFonts w:hint="eastAsia" w:ascii="仿宋_GB2312" w:hAnsi="仿宋_GB2312" w:eastAsia="仿宋_GB2312" w:cs="仿宋_GB2312"/>
          <w:sz w:val="30"/>
          <w:szCs w:val="30"/>
        </w:rPr>
        <w:t>：</w:t>
      </w:r>
    </w:p>
    <w:p>
      <w:pPr>
        <w:widowControl/>
        <w:spacing w:line="4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我单位作为本次采购项目的供应商，根据谈判文件要求，现郑重承诺如下：</w:t>
      </w:r>
    </w:p>
    <w:p>
      <w:pPr>
        <w:widowControl/>
        <w:spacing w:line="460" w:lineRule="exact"/>
        <w:ind w:firstLine="600" w:firstLineChars="200"/>
        <w:jc w:val="left"/>
        <w:rPr>
          <w:rFonts w:ascii="黑体" w:hAnsi="黑体" w:eastAsia="黑体" w:cs="黑体"/>
          <w:sz w:val="30"/>
          <w:szCs w:val="30"/>
        </w:rPr>
      </w:pPr>
      <w:r>
        <w:rPr>
          <w:rFonts w:hint="eastAsia" w:ascii="黑体" w:hAnsi="黑体" w:eastAsia="黑体" w:cs="黑体"/>
          <w:sz w:val="30"/>
          <w:szCs w:val="30"/>
        </w:rPr>
        <w:t>一、具备本项目规定的条件：</w:t>
      </w:r>
    </w:p>
    <w:p>
      <w:pPr>
        <w:widowControl/>
        <w:spacing w:line="4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（一）具有独立承担民事责任的能力；</w:t>
      </w:r>
    </w:p>
    <w:p>
      <w:pPr>
        <w:widowControl/>
        <w:spacing w:line="4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（二）具有良好的商业信誉和健全的财务会计制度；</w:t>
      </w:r>
    </w:p>
    <w:p>
      <w:pPr>
        <w:widowControl/>
        <w:spacing w:line="4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（三）具有履行合同所必需的设备和专业技术能力；</w:t>
      </w:r>
    </w:p>
    <w:p>
      <w:pPr>
        <w:widowControl/>
        <w:spacing w:line="4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（四）有依法缴纳税收和社会保障资金的良好记录；</w:t>
      </w:r>
    </w:p>
    <w:p>
      <w:pPr>
        <w:widowControl/>
        <w:spacing w:line="4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（五）参加采购活动前三年内，在经营活动中没有重大违法记录；</w:t>
      </w:r>
    </w:p>
    <w:p>
      <w:pPr>
        <w:widowControl/>
        <w:spacing w:line="4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（六）法律、行政法规规定的其他条件；</w:t>
      </w:r>
    </w:p>
    <w:p>
      <w:pPr>
        <w:spacing w:line="4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（七）截止投标前无财产被接管或冻结的情况；</w:t>
      </w:r>
    </w:p>
    <w:p>
      <w:pPr>
        <w:widowControl/>
        <w:spacing w:line="4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（八）根据采购项目提出的特殊条件。</w:t>
      </w:r>
    </w:p>
    <w:p>
      <w:pPr>
        <w:widowControl/>
        <w:spacing w:line="4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二、截至响应文件递交截止日未被列入失信被执行人、重大税收违法案件当事人名单、政府采购严重违法失信行为记录名单。</w:t>
      </w:r>
    </w:p>
    <w:p>
      <w:pPr>
        <w:widowControl/>
        <w:spacing w:line="4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本单位对上述承诺的内容事项真实性负责。如经查实上述承诺的内容事项存在虚假，我单位愿意接受以提供虚假材料谋取成交追究法律责任。</w:t>
      </w:r>
    </w:p>
    <w:p>
      <w:pPr>
        <w:widowControl/>
        <w:spacing w:line="460" w:lineRule="exact"/>
        <w:ind w:firstLine="600" w:firstLineChars="200"/>
        <w:jc w:val="left"/>
        <w:rPr>
          <w:rFonts w:ascii="仿宋_GB2312" w:hAnsi="仿宋_GB2312" w:eastAsia="仿宋_GB2312" w:cs="仿宋_GB2312"/>
          <w:sz w:val="30"/>
          <w:szCs w:val="30"/>
        </w:rPr>
      </w:pPr>
    </w:p>
    <w:p>
      <w:pPr>
        <w:widowControl/>
        <w:spacing w:line="460" w:lineRule="exact"/>
        <w:ind w:firstLine="588" w:firstLineChars="196"/>
        <w:jc w:val="left"/>
        <w:rPr>
          <w:rFonts w:ascii="仿宋_GB2312" w:hAnsi="仿宋_GB2312" w:eastAsia="仿宋_GB2312" w:cs="仿宋_GB2312"/>
          <w:sz w:val="30"/>
          <w:szCs w:val="30"/>
        </w:rPr>
      </w:pPr>
    </w:p>
    <w:p>
      <w:pPr>
        <w:spacing w:line="46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供应商名称：</w:t>
      </w:r>
      <w:r>
        <w:rPr>
          <w:rFonts w:hint="eastAsia" w:ascii="仿宋_GB2312" w:hAnsi="仿宋_GB2312" w:eastAsia="仿宋_GB2312" w:cs="仿宋_GB2312"/>
          <w:color w:val="000000"/>
          <w:sz w:val="30"/>
          <w:szCs w:val="30"/>
          <w:u w:val="single"/>
        </w:rPr>
        <w:t>（盖单位公章）</w:t>
      </w:r>
    </w:p>
    <w:p>
      <w:pPr>
        <w:spacing w:line="46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法定代表人（主要负责人、经营者）签字或</w:t>
      </w:r>
      <w:r>
        <w:rPr>
          <w:rFonts w:hint="eastAsia" w:ascii="仿宋_GB2312" w:hAnsi="仿宋_GB2312" w:eastAsia="仿宋_GB2312" w:cs="仿宋_GB2312"/>
          <w:bCs/>
          <w:color w:val="000000"/>
          <w:sz w:val="30"/>
          <w:szCs w:val="30"/>
        </w:rPr>
        <w:t>加盖印章</w:t>
      </w:r>
      <w:r>
        <w:rPr>
          <w:rFonts w:hint="eastAsia" w:ascii="仿宋_GB2312" w:hAnsi="仿宋_GB2312" w:eastAsia="仿宋_GB2312" w:cs="仿宋_GB2312"/>
          <w:color w:val="000000"/>
          <w:sz w:val="30"/>
          <w:szCs w:val="30"/>
        </w:rPr>
        <w:t>：</w:t>
      </w:r>
    </w:p>
    <w:p>
      <w:pPr>
        <w:spacing w:line="46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职务：</w:t>
      </w:r>
    </w:p>
    <w:p>
      <w:pPr>
        <w:spacing w:line="46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被授权人签字或</w:t>
      </w:r>
      <w:r>
        <w:rPr>
          <w:rFonts w:hint="eastAsia" w:ascii="仿宋_GB2312" w:hAnsi="仿宋_GB2312" w:eastAsia="仿宋_GB2312" w:cs="仿宋_GB2312"/>
          <w:bCs/>
          <w:color w:val="000000"/>
          <w:sz w:val="30"/>
          <w:szCs w:val="30"/>
        </w:rPr>
        <w:t>加盖印章</w:t>
      </w:r>
      <w:r>
        <w:rPr>
          <w:rFonts w:hint="eastAsia" w:ascii="仿宋_GB2312" w:hAnsi="仿宋_GB2312" w:eastAsia="仿宋_GB2312" w:cs="仿宋_GB2312"/>
          <w:color w:val="000000"/>
          <w:sz w:val="30"/>
          <w:szCs w:val="30"/>
        </w:rPr>
        <w:t>：</w:t>
      </w:r>
    </w:p>
    <w:p>
      <w:pPr>
        <w:spacing w:line="46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职务：</w:t>
      </w:r>
    </w:p>
    <w:p>
      <w:pPr>
        <w:spacing w:line="46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日期：</w:t>
      </w:r>
    </w:p>
    <w:p>
      <w:pPr>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br w:type="page"/>
      </w:r>
    </w:p>
    <w:p>
      <w:pPr>
        <w:widowControl/>
        <w:spacing w:line="360" w:lineRule="auto"/>
        <w:jc w:val="left"/>
        <w:rPr>
          <w:rFonts w:hint="eastAsia" w:ascii="仿宋" w:hAnsi="仿宋" w:eastAsia="仿宋" w:cs="仿宋"/>
          <w:b/>
          <w:bCs/>
          <w:sz w:val="28"/>
          <w:szCs w:val="28"/>
          <w:lang w:eastAsia="zh-CN"/>
        </w:rPr>
      </w:pPr>
      <w:r>
        <w:rPr>
          <w:rFonts w:hint="eastAsia" w:ascii="仿宋" w:hAnsi="仿宋" w:eastAsia="仿宋" w:cs="仿宋"/>
          <w:b/>
          <w:bCs/>
          <w:sz w:val="28"/>
          <w:szCs w:val="28"/>
        </w:rPr>
        <w:t>格式</w:t>
      </w:r>
      <w:r>
        <w:rPr>
          <w:rFonts w:ascii="仿宋" w:hAnsi="仿宋" w:eastAsia="仿宋" w:cs="仿宋"/>
          <w:b/>
          <w:bCs/>
          <w:sz w:val="28"/>
          <w:szCs w:val="28"/>
        </w:rPr>
        <w:t>1-</w:t>
      </w:r>
      <w:r>
        <w:rPr>
          <w:rFonts w:hint="eastAsia" w:ascii="仿宋" w:hAnsi="仿宋" w:eastAsia="仿宋" w:cs="仿宋"/>
          <w:b/>
          <w:bCs/>
          <w:sz w:val="28"/>
          <w:szCs w:val="28"/>
          <w:lang w:val="en-US" w:eastAsia="zh-CN"/>
        </w:rPr>
        <w:t>3</w:t>
      </w:r>
    </w:p>
    <w:p>
      <w:pPr>
        <w:spacing w:line="360" w:lineRule="auto"/>
        <w:jc w:val="center"/>
        <w:rPr>
          <w:rFonts w:ascii="仿宋" w:hAnsi="仿宋" w:eastAsia="仿宋" w:cs="仿宋"/>
          <w:b/>
          <w:bCs/>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docGrid w:type="lines" w:linePitch="312" w:charSpace="0"/>
        </w:sectPr>
      </w:pPr>
      <w:r>
        <w:rPr>
          <w:rFonts w:hint="eastAsia" w:ascii="仿宋" w:hAnsi="仿宋" w:eastAsia="仿宋" w:cs="仿宋"/>
          <w:b/>
          <w:bCs/>
          <w:sz w:val="32"/>
          <w:szCs w:val="32"/>
        </w:rPr>
        <w:t>四、供应商认为须提供的其他的材料</w:t>
      </w:r>
    </w:p>
    <w:p>
      <w:pPr>
        <w:widowControl/>
        <w:spacing w:line="360" w:lineRule="auto"/>
        <w:jc w:val="center"/>
        <w:rPr>
          <w:rFonts w:ascii="仿宋" w:hAnsi="仿宋" w:eastAsia="仿宋"/>
          <w:b/>
          <w:bCs/>
          <w:sz w:val="32"/>
          <w:szCs w:val="32"/>
        </w:rPr>
      </w:pPr>
      <w:r>
        <w:rPr>
          <w:rFonts w:hint="eastAsia" w:ascii="仿宋" w:hAnsi="仿宋" w:eastAsia="仿宋" w:cs="仿宋"/>
          <w:b/>
          <w:bCs/>
          <w:sz w:val="32"/>
          <w:szCs w:val="32"/>
        </w:rPr>
        <w:t>第二部分“其他响应文件”格式</w:t>
      </w:r>
    </w:p>
    <w:p>
      <w:pPr>
        <w:spacing w:line="360" w:lineRule="auto"/>
        <w:rPr>
          <w:rFonts w:ascii="仿宋" w:hAnsi="仿宋" w:eastAsia="仿宋"/>
          <w:b/>
          <w:bCs/>
          <w:sz w:val="32"/>
          <w:szCs w:val="32"/>
        </w:rPr>
      </w:pPr>
      <w:r>
        <w:rPr>
          <w:rFonts w:hint="eastAsia" w:ascii="仿宋" w:hAnsi="仿宋" w:eastAsia="仿宋" w:cs="仿宋"/>
          <w:b/>
          <w:bCs/>
          <w:sz w:val="32"/>
          <w:szCs w:val="32"/>
        </w:rPr>
        <w:t>封面：</w:t>
      </w:r>
    </w:p>
    <w:p>
      <w:pPr>
        <w:spacing w:line="360" w:lineRule="auto"/>
        <w:jc w:val="right"/>
        <w:rPr>
          <w:rFonts w:ascii="仿宋" w:hAnsi="仿宋" w:eastAsia="仿宋"/>
          <w:b/>
          <w:bCs/>
          <w:sz w:val="36"/>
          <w:szCs w:val="36"/>
        </w:rPr>
      </w:pPr>
      <w:r>
        <w:rPr>
          <w:rFonts w:hint="eastAsia" w:ascii="仿宋" w:hAnsi="仿宋" w:eastAsia="仿宋" w:cs="仿宋"/>
          <w:b/>
          <w:bCs/>
          <w:sz w:val="36"/>
          <w:szCs w:val="36"/>
        </w:rPr>
        <w:t>（正本</w:t>
      </w:r>
      <w:r>
        <w:rPr>
          <w:rFonts w:ascii="仿宋" w:hAnsi="仿宋" w:eastAsia="仿宋" w:cs="仿宋"/>
          <w:b/>
          <w:bCs/>
          <w:sz w:val="36"/>
          <w:szCs w:val="36"/>
        </w:rPr>
        <w:t>/</w:t>
      </w:r>
      <w:r>
        <w:rPr>
          <w:rFonts w:hint="eastAsia" w:ascii="仿宋" w:hAnsi="仿宋" w:eastAsia="仿宋" w:cs="仿宋"/>
          <w:b/>
          <w:bCs/>
          <w:sz w:val="36"/>
          <w:szCs w:val="36"/>
        </w:rPr>
        <w:t>副本）</w:t>
      </w:r>
    </w:p>
    <w:p>
      <w:pPr>
        <w:spacing w:line="360" w:lineRule="auto"/>
        <w:rPr>
          <w:rFonts w:ascii="仿宋" w:hAnsi="仿宋" w:eastAsia="仿宋"/>
          <w:b/>
          <w:bCs/>
          <w:sz w:val="32"/>
          <w:szCs w:val="32"/>
        </w:rPr>
      </w:pPr>
    </w:p>
    <w:p>
      <w:pPr>
        <w:spacing w:line="360" w:lineRule="auto"/>
        <w:jc w:val="center"/>
        <w:rPr>
          <w:rFonts w:ascii="仿宋" w:hAnsi="仿宋" w:eastAsia="仿宋"/>
          <w:b/>
          <w:bCs/>
          <w:sz w:val="72"/>
          <w:szCs w:val="72"/>
        </w:rPr>
      </w:pPr>
      <w:r>
        <w:rPr>
          <w:rFonts w:ascii="仿宋" w:hAnsi="仿宋" w:eastAsia="仿宋" w:cs="仿宋"/>
          <w:b/>
          <w:bCs/>
          <w:sz w:val="40"/>
          <w:szCs w:val="40"/>
        </w:rPr>
        <w:t>XX</w:t>
      </w:r>
      <w:r>
        <w:rPr>
          <w:rFonts w:hint="eastAsia" w:ascii="仿宋" w:hAnsi="仿宋" w:eastAsia="仿宋" w:cs="仿宋"/>
          <w:b/>
          <w:bCs/>
          <w:sz w:val="40"/>
          <w:szCs w:val="40"/>
        </w:rPr>
        <w:t>项目</w:t>
      </w:r>
    </w:p>
    <w:p>
      <w:pPr>
        <w:spacing w:line="360" w:lineRule="auto"/>
        <w:rPr>
          <w:rFonts w:ascii="仿宋" w:hAnsi="仿宋" w:eastAsia="仿宋"/>
          <w:b/>
          <w:bCs/>
          <w:sz w:val="52"/>
          <w:szCs w:val="52"/>
        </w:rPr>
      </w:pPr>
    </w:p>
    <w:p>
      <w:pPr>
        <w:spacing w:line="360" w:lineRule="auto"/>
        <w:jc w:val="center"/>
        <w:rPr>
          <w:rFonts w:ascii="仿宋" w:hAnsi="仿宋" w:eastAsia="仿宋"/>
          <w:b/>
          <w:bCs/>
          <w:sz w:val="32"/>
          <w:szCs w:val="32"/>
        </w:rPr>
      </w:pPr>
      <w:r>
        <w:rPr>
          <w:rFonts w:hint="eastAsia" w:ascii="仿宋" w:hAnsi="仿宋" w:eastAsia="仿宋" w:cs="仿宋"/>
          <w:b/>
          <w:bCs/>
          <w:sz w:val="52"/>
          <w:szCs w:val="52"/>
        </w:rPr>
        <w:t>其他响应文件</w:t>
      </w:r>
    </w:p>
    <w:p>
      <w:pPr>
        <w:spacing w:line="360" w:lineRule="auto"/>
        <w:ind w:firstLine="643" w:firstLineChars="200"/>
        <w:jc w:val="left"/>
        <w:rPr>
          <w:rFonts w:ascii="仿宋" w:hAnsi="仿宋" w:eastAsia="仿宋"/>
          <w:b/>
          <w:bCs/>
          <w:sz w:val="32"/>
          <w:szCs w:val="32"/>
          <w:u w:val="single"/>
        </w:rPr>
      </w:pPr>
      <w:r>
        <w:rPr>
          <w:rFonts w:hint="eastAsia" w:ascii="仿宋" w:hAnsi="仿宋" w:eastAsia="仿宋" w:cs="仿宋"/>
          <w:b/>
          <w:bCs/>
          <w:sz w:val="32"/>
          <w:szCs w:val="32"/>
        </w:rPr>
        <w:t>供应商名称：</w:t>
      </w:r>
    </w:p>
    <w:p>
      <w:pPr>
        <w:spacing w:line="360" w:lineRule="auto"/>
        <w:ind w:firstLine="643" w:firstLineChars="200"/>
        <w:jc w:val="left"/>
        <w:rPr>
          <w:rFonts w:ascii="仿宋" w:hAnsi="仿宋" w:eastAsia="仿宋"/>
          <w:b/>
          <w:bCs/>
          <w:sz w:val="32"/>
          <w:szCs w:val="32"/>
          <w:u w:val="single"/>
        </w:rPr>
      </w:pPr>
      <w:r>
        <w:rPr>
          <w:rFonts w:hint="eastAsia" w:ascii="仿宋" w:hAnsi="仿宋" w:eastAsia="仿宋" w:cs="仿宋"/>
          <w:b/>
          <w:bCs/>
          <w:sz w:val="32"/>
          <w:szCs w:val="32"/>
        </w:rPr>
        <w:t>采购项目编号：</w:t>
      </w:r>
    </w:p>
    <w:p>
      <w:pPr>
        <w:spacing w:line="360" w:lineRule="auto"/>
        <w:ind w:firstLine="790" w:firstLineChars="246"/>
        <w:jc w:val="center"/>
        <w:rPr>
          <w:rFonts w:ascii="仿宋" w:hAnsi="仿宋" w:eastAsia="仿宋"/>
          <w:b/>
          <w:bCs/>
          <w:sz w:val="32"/>
          <w:szCs w:val="32"/>
        </w:rPr>
      </w:pPr>
    </w:p>
    <w:p>
      <w:pPr>
        <w:pStyle w:val="17"/>
        <w:rPr>
          <w:rFonts w:ascii="仿宋" w:hAnsi="仿宋" w:eastAsia="仿宋"/>
          <w:b/>
          <w:bCs/>
          <w:sz w:val="32"/>
          <w:szCs w:val="32"/>
        </w:rPr>
      </w:pPr>
    </w:p>
    <w:p>
      <w:pPr>
        <w:rPr>
          <w:rFonts w:ascii="仿宋" w:hAnsi="仿宋" w:eastAsia="仿宋"/>
          <w:b/>
          <w:bCs/>
          <w:sz w:val="32"/>
          <w:szCs w:val="32"/>
        </w:rPr>
      </w:pPr>
    </w:p>
    <w:p>
      <w:pPr>
        <w:pStyle w:val="17"/>
        <w:rPr>
          <w:rFonts w:ascii="仿宋" w:hAnsi="仿宋" w:eastAsia="仿宋"/>
          <w:b/>
          <w:bCs/>
          <w:sz w:val="32"/>
          <w:szCs w:val="32"/>
        </w:rPr>
      </w:pPr>
    </w:p>
    <w:p>
      <w:pPr>
        <w:rPr>
          <w:rFonts w:ascii="仿宋" w:hAnsi="仿宋" w:eastAsia="仿宋"/>
          <w:b/>
          <w:bCs/>
          <w:sz w:val="32"/>
          <w:szCs w:val="32"/>
        </w:rPr>
      </w:pPr>
    </w:p>
    <w:p>
      <w:pPr>
        <w:pStyle w:val="17"/>
        <w:rPr>
          <w:rFonts w:ascii="仿宋" w:hAnsi="仿宋" w:eastAsia="仿宋"/>
          <w:b/>
          <w:bCs/>
          <w:sz w:val="32"/>
          <w:szCs w:val="32"/>
        </w:rPr>
      </w:pPr>
    </w:p>
    <w:p>
      <w:pPr>
        <w:rPr>
          <w:rFonts w:ascii="仿宋" w:hAnsi="仿宋" w:eastAsia="仿宋"/>
          <w:b/>
          <w:bCs/>
          <w:sz w:val="32"/>
          <w:szCs w:val="32"/>
        </w:rPr>
      </w:pPr>
    </w:p>
    <w:p>
      <w:pPr>
        <w:pStyle w:val="17"/>
      </w:pPr>
    </w:p>
    <w:p>
      <w:pPr>
        <w:spacing w:line="360" w:lineRule="auto"/>
        <w:ind w:firstLine="790" w:firstLineChars="246"/>
        <w:jc w:val="center"/>
        <w:rPr>
          <w:rFonts w:ascii="仿宋" w:hAnsi="仿宋" w:eastAsia="仿宋"/>
          <w:b/>
          <w:bCs/>
          <w:sz w:val="32"/>
          <w:szCs w:val="32"/>
        </w:rPr>
      </w:pPr>
      <w:r>
        <w:rPr>
          <w:rFonts w:ascii="仿宋" w:hAnsi="仿宋" w:eastAsia="仿宋" w:cs="仿宋"/>
          <w:b/>
          <w:bCs/>
          <w:sz w:val="32"/>
          <w:szCs w:val="32"/>
        </w:rPr>
        <w:t>XX</w:t>
      </w:r>
      <w:r>
        <w:rPr>
          <w:rFonts w:hint="eastAsia" w:ascii="仿宋" w:hAnsi="仿宋" w:eastAsia="仿宋" w:cs="仿宋"/>
          <w:b/>
          <w:bCs/>
          <w:sz w:val="32"/>
          <w:szCs w:val="32"/>
        </w:rPr>
        <w:t>年</w:t>
      </w:r>
      <w:r>
        <w:rPr>
          <w:rFonts w:ascii="仿宋" w:hAnsi="仿宋" w:eastAsia="仿宋" w:cs="仿宋"/>
          <w:b/>
          <w:bCs/>
          <w:sz w:val="32"/>
          <w:szCs w:val="32"/>
        </w:rPr>
        <w:t>XX</w:t>
      </w:r>
      <w:r>
        <w:rPr>
          <w:rFonts w:hint="eastAsia" w:ascii="仿宋" w:hAnsi="仿宋" w:eastAsia="仿宋" w:cs="仿宋"/>
          <w:b/>
          <w:bCs/>
          <w:sz w:val="32"/>
          <w:szCs w:val="32"/>
        </w:rPr>
        <w:t>月</w:t>
      </w:r>
      <w:r>
        <w:rPr>
          <w:rFonts w:ascii="仿宋" w:hAnsi="仿宋" w:eastAsia="仿宋" w:cs="仿宋"/>
          <w:b/>
          <w:bCs/>
          <w:sz w:val="32"/>
          <w:szCs w:val="32"/>
        </w:rPr>
        <w:t>XX</w:t>
      </w:r>
      <w:r>
        <w:rPr>
          <w:rFonts w:hint="eastAsia" w:ascii="仿宋" w:hAnsi="仿宋" w:eastAsia="仿宋" w:cs="仿宋"/>
          <w:b/>
          <w:bCs/>
          <w:sz w:val="32"/>
          <w:szCs w:val="32"/>
        </w:rPr>
        <w:t>日</w:t>
      </w:r>
    </w:p>
    <w:p>
      <w:pPr>
        <w:spacing w:line="360" w:lineRule="auto"/>
        <w:rPr>
          <w:rFonts w:ascii="仿宋" w:hAnsi="仿宋" w:eastAsia="仿宋"/>
          <w:b/>
          <w:bCs/>
          <w:sz w:val="32"/>
          <w:szCs w:val="32"/>
        </w:rPr>
      </w:pPr>
      <w:r>
        <w:rPr>
          <w:rFonts w:ascii="仿宋" w:hAnsi="仿宋" w:eastAsia="仿宋"/>
          <w:b/>
          <w:bCs/>
          <w:sz w:val="32"/>
          <w:szCs w:val="32"/>
        </w:rPr>
        <w:br w:type="page"/>
      </w:r>
      <w:r>
        <w:rPr>
          <w:rFonts w:hint="eastAsia" w:ascii="仿宋" w:hAnsi="仿宋" w:eastAsia="仿宋" w:cs="仿宋"/>
          <w:b/>
          <w:bCs/>
          <w:sz w:val="28"/>
          <w:szCs w:val="28"/>
        </w:rPr>
        <w:t>格式</w:t>
      </w:r>
      <w:r>
        <w:rPr>
          <w:rFonts w:ascii="仿宋" w:hAnsi="仿宋" w:eastAsia="仿宋" w:cs="仿宋"/>
          <w:b/>
          <w:bCs/>
          <w:sz w:val="28"/>
          <w:szCs w:val="28"/>
        </w:rPr>
        <w:t>2-</w:t>
      </w:r>
      <w:r>
        <w:rPr>
          <w:rFonts w:hint="eastAsia" w:ascii="仿宋" w:hAnsi="仿宋" w:eastAsia="仿宋" w:cs="仿宋"/>
          <w:b/>
          <w:bCs/>
          <w:sz w:val="28"/>
          <w:szCs w:val="28"/>
        </w:rPr>
        <w:t>1</w:t>
      </w:r>
    </w:p>
    <w:p>
      <w:pPr>
        <w:pStyle w:val="4"/>
        <w:tabs>
          <w:tab w:val="left" w:pos="426"/>
          <w:tab w:val="left" w:pos="567"/>
        </w:tabs>
        <w:adjustRightInd w:val="0"/>
        <w:spacing w:line="500" w:lineRule="exact"/>
        <w:jc w:val="center"/>
        <w:rPr>
          <w:rFonts w:ascii="仿宋" w:hAnsi="仿宋" w:eastAsia="仿宋" w:cs="仿宋"/>
        </w:rPr>
      </w:pPr>
      <w:r>
        <w:rPr>
          <w:rFonts w:hint="eastAsia" w:ascii="仿宋" w:hAnsi="仿宋" w:eastAsia="仿宋" w:cs="仿宋"/>
        </w:rPr>
        <w:t>一、报价函</w:t>
      </w:r>
    </w:p>
    <w:p>
      <w:pPr>
        <w:spacing w:line="360" w:lineRule="auto"/>
        <w:rPr>
          <w:rFonts w:ascii="仿宋_GB2312" w:hAnsi="仿宋_GB2312" w:eastAsia="仿宋_GB2312" w:cs="仿宋_GB2312"/>
          <w:sz w:val="24"/>
          <w:szCs w:val="24"/>
        </w:rPr>
      </w:pPr>
      <w:r>
        <w:rPr>
          <w:rFonts w:ascii="仿宋_GB2312" w:hAnsi="仿宋_GB2312" w:eastAsia="仿宋_GB2312" w:cs="仿宋_GB2312"/>
          <w:sz w:val="24"/>
          <w:szCs w:val="24"/>
          <w:u w:val="single"/>
        </w:rPr>
        <w:t>XXXXXXX</w:t>
      </w:r>
      <w:r>
        <w:rPr>
          <w:rFonts w:hint="eastAsia" w:ascii="仿宋_GB2312" w:hAnsi="仿宋_GB2312" w:eastAsia="仿宋_GB2312" w:cs="仿宋_GB2312"/>
          <w:sz w:val="24"/>
          <w:szCs w:val="24"/>
        </w:rPr>
        <w:t>（采购人名称）</w:t>
      </w:r>
      <w:r>
        <w:rPr>
          <w:rFonts w:ascii="仿宋_GB2312" w:hAnsi="仿宋_GB2312" w:eastAsia="仿宋_GB2312" w:cs="仿宋_GB2312"/>
          <w:sz w:val="24"/>
          <w:szCs w:val="24"/>
        </w:rPr>
        <w:t>:</w:t>
      </w:r>
    </w:p>
    <w:p>
      <w:pPr>
        <w:pStyle w:val="86"/>
        <w:spacing w:line="360" w:lineRule="auto"/>
        <w:ind w:firstLine="0" w:firstLineChars="0"/>
        <w:rPr>
          <w:rFonts w:ascii="仿宋_GB2312" w:hAnsi="仿宋_GB2312" w:eastAsia="仿宋_GB2312" w:cs="仿宋_GB2312"/>
        </w:rPr>
      </w:pPr>
      <w:r>
        <w:rPr>
          <w:rFonts w:ascii="仿宋_GB2312" w:hAnsi="仿宋_GB2312" w:eastAsia="仿宋_GB2312" w:cs="仿宋_GB2312"/>
        </w:rPr>
        <w:t>1．</w:t>
      </w:r>
      <w:r>
        <w:rPr>
          <w:rFonts w:hint="eastAsia" w:ascii="仿宋_GB2312" w:hAnsi="仿宋_GB2312" w:eastAsia="仿宋_GB2312" w:cs="仿宋_GB2312"/>
        </w:rPr>
        <w:t>我方己仔细研究了（项目名称）谈判文件的全部内容，愿意以人民币（大写）</w:t>
      </w:r>
    </w:p>
    <w:p>
      <w:pPr>
        <w:pStyle w:val="86"/>
        <w:spacing w:line="360" w:lineRule="auto"/>
        <w:ind w:left="-44" w:leftChars="-21" w:firstLine="0" w:firstLineChars="0"/>
        <w:rPr>
          <w:rFonts w:ascii="仿宋_GB2312" w:hAnsi="仿宋_GB2312" w:eastAsia="仿宋_GB2312" w:cs="仿宋_GB2312"/>
        </w:rPr>
      </w:pPr>
      <w:r>
        <w:rPr>
          <w:rFonts w:ascii="仿宋_GB2312" w:hAnsi="仿宋_GB2312" w:eastAsia="仿宋_GB2312" w:cs="仿宋_GB2312"/>
          <w:highlight w:val="yellow"/>
          <w:u w:val="single"/>
        </w:rPr>
        <w:t>XX</w:t>
      </w:r>
      <w:r>
        <w:rPr>
          <w:rFonts w:hint="eastAsia" w:ascii="仿宋_GB2312" w:hAnsi="仿宋_GB2312" w:eastAsia="仿宋_GB2312" w:cs="仿宋_GB2312"/>
        </w:rPr>
        <w:t>（￥）的总报价，工期</w:t>
      </w:r>
      <w:r>
        <w:rPr>
          <w:rFonts w:ascii="仿宋_GB2312" w:hAnsi="仿宋_GB2312" w:eastAsia="仿宋_GB2312" w:cs="仿宋_GB2312"/>
          <w:highlight w:val="yellow"/>
          <w:u w:val="single"/>
        </w:rPr>
        <w:t>XX</w:t>
      </w:r>
      <w:r>
        <w:rPr>
          <w:rFonts w:hint="eastAsia" w:ascii="仿宋_GB2312" w:hAnsi="仿宋_GB2312" w:eastAsia="仿宋_GB2312" w:cs="仿宋_GB2312"/>
        </w:rPr>
        <w:t>日历天，按合同约定实施和完成承包工程，修补工程中的任何缺陷，工程质量达到规定要求标准。</w:t>
      </w:r>
    </w:p>
    <w:p>
      <w:pPr>
        <w:spacing w:line="360" w:lineRule="auto"/>
        <w:rPr>
          <w:rFonts w:ascii="仿宋_GB2312" w:hAnsi="仿宋_GB2312" w:eastAsia="仿宋_GB2312" w:cs="仿宋_GB2312"/>
          <w:sz w:val="24"/>
          <w:szCs w:val="24"/>
        </w:rPr>
      </w:pPr>
      <w:r>
        <w:rPr>
          <w:rFonts w:ascii="仿宋_GB2312" w:hAnsi="仿宋_GB2312" w:eastAsia="仿宋_GB2312" w:cs="仿宋_GB2312"/>
          <w:sz w:val="24"/>
          <w:szCs w:val="24"/>
        </w:rPr>
        <w:t>2</w:t>
      </w:r>
      <w:r>
        <w:rPr>
          <w:rFonts w:hint="eastAsia" w:ascii="仿宋_GB2312" w:hAnsi="仿宋_GB2312" w:eastAsia="仿宋_GB2312" w:cs="仿宋_GB2312"/>
          <w:sz w:val="24"/>
          <w:szCs w:val="24"/>
        </w:rPr>
        <w:t>．我方承诺在响应文件有效期天内不修改、撤销响应文件。</w:t>
      </w:r>
    </w:p>
    <w:p>
      <w:pPr>
        <w:spacing w:line="360" w:lineRule="auto"/>
        <w:rPr>
          <w:rFonts w:ascii="仿宋_GB2312" w:hAnsi="仿宋_GB2312" w:eastAsia="仿宋_GB2312" w:cs="仿宋_GB2312"/>
          <w:sz w:val="24"/>
          <w:szCs w:val="24"/>
        </w:rPr>
      </w:pPr>
      <w:r>
        <w:rPr>
          <w:rFonts w:ascii="仿宋_GB2312" w:hAnsi="仿宋_GB2312" w:eastAsia="仿宋_GB2312" w:cs="仿宋_GB2312"/>
          <w:sz w:val="24"/>
          <w:szCs w:val="24"/>
        </w:rPr>
        <w:t>3</w:t>
      </w:r>
      <w:r>
        <w:rPr>
          <w:rFonts w:hint="eastAsia" w:ascii="仿宋_GB2312" w:hAnsi="仿宋_GB2312" w:eastAsia="仿宋_GB2312" w:cs="仿宋_GB2312"/>
          <w:sz w:val="24"/>
          <w:szCs w:val="24"/>
        </w:rPr>
        <w:t>．如我方成交：</w:t>
      </w:r>
    </w:p>
    <w:p>
      <w:pPr>
        <w:spacing w:line="360" w:lineRule="auto"/>
        <w:ind w:firstLine="120" w:firstLineChars="50"/>
        <w:rPr>
          <w:rFonts w:ascii="仿宋_GB2312" w:hAnsi="仿宋_GB2312" w:eastAsia="仿宋_GB2312" w:cs="仿宋_GB2312"/>
          <w:sz w:val="24"/>
          <w:szCs w:val="24"/>
        </w:rPr>
      </w:pPr>
      <w:r>
        <w:rPr>
          <w:rFonts w:ascii="仿宋_GB2312" w:hAnsi="仿宋_GB2312" w:eastAsia="仿宋_GB2312" w:cs="仿宋_GB2312"/>
          <w:sz w:val="24"/>
          <w:szCs w:val="24"/>
        </w:rPr>
        <w:t>(l</w:t>
      </w:r>
      <w:r>
        <w:rPr>
          <w:rFonts w:hint="eastAsia" w:ascii="仿宋_GB2312" w:hAnsi="仿宋_GB2312" w:eastAsia="仿宋_GB2312" w:cs="仿宋_GB2312"/>
          <w:sz w:val="24"/>
          <w:szCs w:val="24"/>
        </w:rPr>
        <w:t>）我方承诺在收到成交通知书后，在规定的期限内与采购人签订合同。</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w:t>
      </w:r>
      <w:r>
        <w:rPr>
          <w:rFonts w:ascii="仿宋_GB2312" w:hAnsi="仿宋_GB2312" w:eastAsia="仿宋_GB2312" w:cs="仿宋_GB2312"/>
          <w:sz w:val="24"/>
          <w:szCs w:val="24"/>
        </w:rPr>
        <w:t>2</w:t>
      </w:r>
      <w:r>
        <w:rPr>
          <w:rFonts w:hint="eastAsia" w:ascii="仿宋_GB2312" w:hAnsi="仿宋_GB2312" w:eastAsia="仿宋_GB2312" w:cs="仿宋_GB2312"/>
          <w:sz w:val="24"/>
          <w:szCs w:val="24"/>
        </w:rPr>
        <w:t>）我方承诺按照谈判文件规定的金额和方式向采购人缴纳履约保证金。</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w:t>
      </w:r>
      <w:r>
        <w:rPr>
          <w:rFonts w:ascii="仿宋_GB2312" w:hAnsi="仿宋_GB2312" w:eastAsia="仿宋_GB2312" w:cs="仿宋_GB2312"/>
          <w:sz w:val="24"/>
          <w:szCs w:val="24"/>
        </w:rPr>
        <w:t>3</w:t>
      </w:r>
      <w:r>
        <w:rPr>
          <w:rFonts w:hint="eastAsia" w:ascii="仿宋_GB2312" w:hAnsi="仿宋_GB2312" w:eastAsia="仿宋_GB2312" w:cs="仿宋_GB2312"/>
          <w:sz w:val="24"/>
          <w:szCs w:val="24"/>
        </w:rPr>
        <w:t>）我方将严格履行采购合同规定的责任和义务。</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w:t>
      </w:r>
      <w:r>
        <w:rPr>
          <w:rFonts w:ascii="仿宋_GB2312" w:hAnsi="仿宋_GB2312" w:eastAsia="仿宋_GB2312" w:cs="仿宋_GB2312"/>
          <w:sz w:val="24"/>
          <w:szCs w:val="24"/>
        </w:rPr>
        <w:t>4</w:t>
      </w:r>
      <w:r>
        <w:rPr>
          <w:rFonts w:hint="eastAsia" w:ascii="仿宋_GB2312" w:hAnsi="仿宋_GB2312" w:eastAsia="仿宋_GB2312" w:cs="仿宋_GB2312"/>
          <w:sz w:val="24"/>
          <w:szCs w:val="24"/>
        </w:rPr>
        <w:t>）我方愿意提供贵单位可能另外要求的，与谈判报价有关的文件资料，并保证我方已提供和将要提供的文件资料是真实、准确的。</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w:t>
      </w:r>
      <w:r>
        <w:rPr>
          <w:rFonts w:ascii="仿宋_GB2312" w:hAnsi="仿宋_GB2312" w:eastAsia="仿宋_GB2312" w:cs="仿宋_GB2312"/>
          <w:sz w:val="24"/>
          <w:szCs w:val="24"/>
        </w:rPr>
        <w:t>5</w:t>
      </w:r>
      <w:r>
        <w:rPr>
          <w:rFonts w:hint="eastAsia" w:ascii="仿宋_GB2312" w:hAnsi="仿宋_GB2312" w:eastAsia="仿宋_GB2312" w:cs="仿宋_GB2312"/>
          <w:sz w:val="24"/>
          <w:szCs w:val="24"/>
        </w:rPr>
        <w:t>）我方自愿按照谈判文件规定的各项要求完成工程建设项目，最后报价以《最后报价表》为准，接受采购人按照采购合同约定金额支付采购资金。</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w:t>
      </w:r>
      <w:r>
        <w:rPr>
          <w:rFonts w:ascii="仿宋_GB2312" w:hAnsi="仿宋_GB2312" w:eastAsia="仿宋_GB2312" w:cs="仿宋_GB2312"/>
          <w:sz w:val="24"/>
          <w:szCs w:val="24"/>
        </w:rPr>
        <w:t>6</w:t>
      </w:r>
      <w:r>
        <w:rPr>
          <w:rFonts w:hint="eastAsia" w:ascii="仿宋_GB2312" w:hAnsi="仿宋_GB2312" w:eastAsia="仿宋_GB2312" w:cs="仿宋_GB2312"/>
          <w:sz w:val="24"/>
          <w:szCs w:val="24"/>
        </w:rPr>
        <w:t>）（其他补充说明）。</w:t>
      </w:r>
    </w:p>
    <w:p>
      <w:pPr>
        <w:adjustRightInd w:val="0"/>
        <w:spacing w:line="360" w:lineRule="auto"/>
        <w:ind w:firstLine="480" w:firstLineChars="200"/>
        <w:jc w:val="left"/>
        <w:rPr>
          <w:rFonts w:ascii="仿宋_GB2312" w:hAnsi="仿宋_GB2312" w:eastAsia="仿宋_GB2312" w:cs="仿宋_GB2312"/>
          <w:sz w:val="24"/>
          <w:szCs w:val="24"/>
        </w:rPr>
      </w:pPr>
    </w:p>
    <w:p>
      <w:pPr>
        <w:spacing w:line="4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供应商名称：</w:t>
      </w:r>
      <w:r>
        <w:rPr>
          <w:rFonts w:hint="eastAsia" w:ascii="仿宋_GB2312" w:hAnsi="仿宋_GB2312" w:eastAsia="仿宋_GB2312" w:cs="仿宋_GB2312"/>
          <w:color w:val="000000"/>
          <w:sz w:val="24"/>
          <w:u w:val="single"/>
        </w:rPr>
        <w:t>（盖单位公章）</w:t>
      </w:r>
    </w:p>
    <w:p>
      <w:pPr>
        <w:spacing w:line="4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法定代表人（主要负责人、经营者）签字或</w:t>
      </w:r>
      <w:r>
        <w:rPr>
          <w:rFonts w:hint="eastAsia" w:ascii="仿宋_GB2312" w:hAnsi="仿宋_GB2312" w:eastAsia="仿宋_GB2312" w:cs="仿宋_GB2312"/>
          <w:bCs/>
          <w:color w:val="000000"/>
          <w:sz w:val="24"/>
        </w:rPr>
        <w:t>加盖印章</w:t>
      </w:r>
      <w:r>
        <w:rPr>
          <w:rFonts w:hint="eastAsia" w:ascii="仿宋_GB2312" w:hAnsi="仿宋_GB2312" w:eastAsia="仿宋_GB2312" w:cs="仿宋_GB2312"/>
          <w:color w:val="000000"/>
          <w:sz w:val="24"/>
        </w:rPr>
        <w:t>：</w:t>
      </w:r>
    </w:p>
    <w:p>
      <w:pPr>
        <w:spacing w:line="4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职务：</w:t>
      </w:r>
    </w:p>
    <w:p>
      <w:pPr>
        <w:spacing w:line="4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被授权人签字或</w:t>
      </w:r>
      <w:r>
        <w:rPr>
          <w:rFonts w:hint="eastAsia" w:ascii="仿宋_GB2312" w:hAnsi="仿宋_GB2312" w:eastAsia="仿宋_GB2312" w:cs="仿宋_GB2312"/>
          <w:bCs/>
          <w:color w:val="000000"/>
          <w:sz w:val="24"/>
        </w:rPr>
        <w:t>加盖印章</w:t>
      </w:r>
      <w:r>
        <w:rPr>
          <w:rFonts w:hint="eastAsia" w:ascii="仿宋_GB2312" w:hAnsi="仿宋_GB2312" w:eastAsia="仿宋_GB2312" w:cs="仿宋_GB2312"/>
          <w:color w:val="000000"/>
          <w:sz w:val="24"/>
        </w:rPr>
        <w:t>：</w:t>
      </w:r>
    </w:p>
    <w:p>
      <w:pPr>
        <w:spacing w:line="4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职务：</w:t>
      </w:r>
    </w:p>
    <w:p>
      <w:pPr>
        <w:spacing w:line="4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日期：</w:t>
      </w:r>
    </w:p>
    <w:p>
      <w:pPr>
        <w:spacing w:line="360" w:lineRule="auto"/>
        <w:rPr>
          <w:rFonts w:ascii="仿宋" w:hAnsi="仿宋" w:eastAsia="仿宋" w:cs="仿宋"/>
          <w:b/>
          <w:bCs/>
          <w:sz w:val="32"/>
          <w:szCs w:val="32"/>
        </w:rPr>
      </w:pPr>
      <w:r>
        <w:rPr>
          <w:rFonts w:ascii="仿宋_GB2312" w:hAnsi="仿宋_GB2312" w:eastAsia="仿宋_GB2312" w:cs="仿宋_GB2312"/>
          <w:b/>
          <w:bCs/>
          <w:sz w:val="32"/>
          <w:szCs w:val="32"/>
        </w:rPr>
        <w:br w:type="page"/>
      </w:r>
      <w:r>
        <w:rPr>
          <w:rFonts w:hint="eastAsia" w:ascii="仿宋" w:hAnsi="仿宋" w:eastAsia="仿宋" w:cs="仿宋"/>
          <w:b/>
          <w:bCs/>
          <w:sz w:val="28"/>
          <w:szCs w:val="28"/>
        </w:rPr>
        <w:t>格式</w:t>
      </w:r>
      <w:r>
        <w:rPr>
          <w:rFonts w:ascii="仿宋" w:hAnsi="仿宋" w:eastAsia="仿宋" w:cs="仿宋"/>
          <w:b/>
          <w:bCs/>
          <w:sz w:val="32"/>
          <w:szCs w:val="32"/>
        </w:rPr>
        <w:t>2-</w:t>
      </w:r>
      <w:r>
        <w:rPr>
          <w:rFonts w:hint="eastAsia" w:ascii="仿宋" w:hAnsi="仿宋" w:eastAsia="仿宋" w:cs="仿宋"/>
          <w:b/>
          <w:bCs/>
          <w:sz w:val="32"/>
          <w:szCs w:val="32"/>
        </w:rPr>
        <w:t>2</w:t>
      </w:r>
    </w:p>
    <w:p>
      <w:pPr>
        <w:pStyle w:val="4"/>
        <w:tabs>
          <w:tab w:val="left" w:pos="426"/>
          <w:tab w:val="left" w:pos="567"/>
        </w:tabs>
        <w:adjustRightInd w:val="0"/>
        <w:spacing w:line="500" w:lineRule="exact"/>
        <w:jc w:val="center"/>
        <w:rPr>
          <w:rFonts w:ascii="仿宋" w:hAnsi="仿宋" w:eastAsia="仿宋" w:cs="仿宋"/>
        </w:rPr>
      </w:pPr>
      <w:r>
        <w:rPr>
          <w:rFonts w:hint="eastAsia" w:ascii="仿宋" w:hAnsi="仿宋" w:eastAsia="仿宋" w:cs="仿宋"/>
        </w:rPr>
        <w:t>二、承诺函（实质性要求）</w:t>
      </w:r>
    </w:p>
    <w:p>
      <w:pPr>
        <w:spacing w:line="440" w:lineRule="exact"/>
        <w:rPr>
          <w:rFonts w:ascii="仿宋_GB2312" w:hAnsi="仿宋_GB2312" w:eastAsia="仿宋_GB2312" w:cs="仿宋_GB2312"/>
          <w:sz w:val="24"/>
          <w:szCs w:val="24"/>
        </w:rPr>
      </w:pPr>
      <w:r>
        <w:rPr>
          <w:rFonts w:ascii="仿宋_GB2312" w:hAnsi="仿宋_GB2312" w:eastAsia="仿宋_GB2312" w:cs="仿宋_GB2312"/>
          <w:sz w:val="24"/>
          <w:szCs w:val="24"/>
        </w:rPr>
        <w:t>XXX</w:t>
      </w:r>
      <w:r>
        <w:rPr>
          <w:rFonts w:hint="eastAsia" w:ascii="仿宋_GB2312" w:hAnsi="仿宋_GB2312" w:eastAsia="仿宋_GB2312" w:cs="仿宋_GB2312"/>
          <w:sz w:val="24"/>
          <w:szCs w:val="24"/>
        </w:rPr>
        <w:t>（采购人名称）：</w:t>
      </w:r>
    </w:p>
    <w:p>
      <w:pPr>
        <w:spacing w:line="44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我方作为本次采购项目的供应商，根据谈判文件要求，现郑重承诺如下：</w:t>
      </w:r>
    </w:p>
    <w:p>
      <w:pPr>
        <w:spacing w:line="44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一、我方已认真阅读并接受本项目谈判文件的全部实质性要求。</w:t>
      </w:r>
    </w:p>
    <w:p>
      <w:pPr>
        <w:spacing w:line="44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二、在参加本次采购活动中，不存在与单位负责人为同一人或者存在直接控股、管理关系的其他供应商参与同一合同项下的采购活动的行为。</w:t>
      </w:r>
    </w:p>
    <w:p>
      <w:pPr>
        <w:spacing w:line="44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三、为采购项目提供整体设计、规范编制或者项目管理、监理、检测等服务的供应商，不得再参加该采购项目的其他采购活动，我方承诺不属于此类禁止参加本项目的供应商。</w:t>
      </w:r>
    </w:p>
    <w:p>
      <w:pPr>
        <w:spacing w:line="44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四、在参加本次采购活动中，不存在和其他供应商在同一合同项下的采购项目中，同时委托同一个自然人、同一家庭的人员、同一单位的人员作为代理人的行为。</w:t>
      </w:r>
    </w:p>
    <w:p>
      <w:pPr>
        <w:spacing w:line="44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五、不存在同一母公司的两家以上的子公司，以不同供应商身份同时参加本项目同一合同项下的采购活动的情形。</w:t>
      </w:r>
    </w:p>
    <w:p>
      <w:pPr>
        <w:spacing w:line="44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六、响应文件中提供的任何资料和技术、服务、商务等响应承诺情况都是真实的、有效的、合法的。</w:t>
      </w:r>
    </w:p>
    <w:p>
      <w:pPr>
        <w:spacing w:line="44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七、国家或行业主管部门对工程项目的技术标准、质量标准和资格资质条件等有强制性规定的，我方承诺符合其要求。</w:t>
      </w:r>
    </w:p>
    <w:p>
      <w:pPr>
        <w:spacing w:line="44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八、参加本次采购活动，我方完全同意谈判文件关于“充分与公平竞争保障措施”、“合同转（分）包”、商务条款中必须响应和满足的规定条款等的实质性要求，并承诺严格按照谈判文件要求履行。</w:t>
      </w:r>
    </w:p>
    <w:p>
      <w:pPr>
        <w:spacing w:line="440" w:lineRule="exact"/>
        <w:ind w:firstLine="482" w:firstLineChars="200"/>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九、与我方存在直接控股关系的单位为：</w:t>
      </w:r>
      <w:r>
        <w:rPr>
          <w:rFonts w:ascii="仿宋_GB2312" w:hAnsi="仿宋_GB2312" w:eastAsia="仿宋_GB2312" w:cs="仿宋_GB2312"/>
          <w:b/>
          <w:bCs/>
          <w:sz w:val="24"/>
          <w:szCs w:val="24"/>
        </w:rPr>
        <w:t>XXX</w:t>
      </w:r>
      <w:r>
        <w:rPr>
          <w:rFonts w:hint="eastAsia" w:ascii="仿宋_GB2312" w:hAnsi="仿宋_GB2312" w:eastAsia="仿宋_GB2312" w:cs="仿宋_GB2312"/>
          <w:b/>
          <w:bCs/>
          <w:sz w:val="24"/>
          <w:szCs w:val="24"/>
        </w:rPr>
        <w:t>；存在管理关系单位为：</w:t>
      </w:r>
      <w:r>
        <w:rPr>
          <w:rFonts w:ascii="仿宋_GB2312" w:hAnsi="仿宋_GB2312" w:eastAsia="仿宋_GB2312" w:cs="仿宋_GB2312"/>
          <w:b/>
          <w:bCs/>
          <w:sz w:val="24"/>
          <w:szCs w:val="24"/>
        </w:rPr>
        <w:t>XXX</w:t>
      </w:r>
      <w:r>
        <w:rPr>
          <w:rFonts w:hint="eastAsia" w:ascii="仿宋_GB2312" w:hAnsi="仿宋_GB2312" w:eastAsia="仿宋_GB2312" w:cs="仿宋_GB2312"/>
          <w:b/>
          <w:bCs/>
          <w:sz w:val="24"/>
          <w:szCs w:val="24"/>
        </w:rPr>
        <w:t>。</w:t>
      </w:r>
    </w:p>
    <w:p>
      <w:pPr>
        <w:spacing w:line="44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我方对上述承诺的内容事项真实性负责。如经查实上述承诺的内容事项存在虚假，我方愿意接受以提供虚假材料谋取成交的法律责任。</w:t>
      </w:r>
    </w:p>
    <w:p>
      <w:pPr>
        <w:spacing w:line="400" w:lineRule="exact"/>
        <w:ind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供应商名称：</w:t>
      </w:r>
      <w:r>
        <w:rPr>
          <w:rFonts w:hint="eastAsia" w:ascii="仿宋_GB2312" w:hAnsi="仿宋_GB2312" w:eastAsia="仿宋_GB2312" w:cs="仿宋_GB2312"/>
          <w:color w:val="000000"/>
          <w:sz w:val="24"/>
          <w:u w:val="single"/>
        </w:rPr>
        <w:t>（盖单位公章）</w:t>
      </w:r>
    </w:p>
    <w:p>
      <w:pPr>
        <w:spacing w:line="400" w:lineRule="exact"/>
        <w:ind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法定代表人（主要负责人、经营者）签字或</w:t>
      </w:r>
      <w:r>
        <w:rPr>
          <w:rFonts w:hint="eastAsia" w:ascii="仿宋_GB2312" w:hAnsi="仿宋_GB2312" w:eastAsia="仿宋_GB2312" w:cs="仿宋_GB2312"/>
          <w:bCs/>
          <w:color w:val="000000"/>
          <w:sz w:val="24"/>
        </w:rPr>
        <w:t>加盖印章</w:t>
      </w:r>
      <w:r>
        <w:rPr>
          <w:rFonts w:hint="eastAsia" w:ascii="仿宋_GB2312" w:hAnsi="仿宋_GB2312" w:eastAsia="仿宋_GB2312" w:cs="仿宋_GB2312"/>
          <w:color w:val="000000"/>
          <w:sz w:val="24"/>
        </w:rPr>
        <w:t>：</w:t>
      </w:r>
    </w:p>
    <w:p>
      <w:pPr>
        <w:spacing w:line="400" w:lineRule="exact"/>
        <w:ind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被授权人签字或</w:t>
      </w:r>
      <w:r>
        <w:rPr>
          <w:rFonts w:hint="eastAsia" w:ascii="仿宋_GB2312" w:hAnsi="仿宋_GB2312" w:eastAsia="仿宋_GB2312" w:cs="仿宋_GB2312"/>
          <w:bCs/>
          <w:color w:val="000000"/>
          <w:sz w:val="24"/>
        </w:rPr>
        <w:t>加盖印章</w:t>
      </w:r>
      <w:r>
        <w:rPr>
          <w:rFonts w:hint="eastAsia" w:ascii="仿宋_GB2312" w:hAnsi="仿宋_GB2312" w:eastAsia="仿宋_GB2312" w:cs="仿宋_GB2312"/>
          <w:color w:val="000000"/>
          <w:sz w:val="24"/>
        </w:rPr>
        <w:t>：</w:t>
      </w:r>
    </w:p>
    <w:p>
      <w:pPr>
        <w:spacing w:line="400" w:lineRule="exact"/>
        <w:ind w:firstLine="480" w:firstLineChars="2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职务：</w:t>
      </w:r>
    </w:p>
    <w:p>
      <w:pPr>
        <w:spacing w:line="400" w:lineRule="exact"/>
        <w:ind w:firstLine="480" w:firstLineChars="200"/>
        <w:rPr>
          <w:rFonts w:ascii="仿宋" w:hAnsi="仿宋" w:eastAsia="仿宋"/>
          <w:sz w:val="24"/>
          <w:szCs w:val="24"/>
        </w:rPr>
      </w:pPr>
      <w:r>
        <w:rPr>
          <w:rFonts w:hint="eastAsia" w:ascii="仿宋_GB2312" w:hAnsi="仿宋_GB2312" w:eastAsia="仿宋_GB2312" w:cs="仿宋_GB2312"/>
          <w:color w:val="000000"/>
          <w:sz w:val="24"/>
        </w:rPr>
        <w:t>日期：</w:t>
      </w:r>
    </w:p>
    <w:p>
      <w:pPr>
        <w:spacing w:line="360" w:lineRule="auto"/>
        <w:rPr>
          <w:rFonts w:ascii="仿宋" w:hAnsi="仿宋" w:eastAsia="仿宋"/>
          <w:b/>
          <w:bCs/>
          <w:sz w:val="32"/>
          <w:szCs w:val="32"/>
        </w:rPr>
      </w:pPr>
      <w:r>
        <w:rPr>
          <w:rFonts w:ascii="仿宋" w:hAnsi="仿宋" w:eastAsia="仿宋"/>
          <w:b/>
          <w:bCs/>
          <w:sz w:val="32"/>
          <w:szCs w:val="32"/>
        </w:rPr>
        <w:br w:type="page"/>
      </w:r>
      <w:r>
        <w:rPr>
          <w:rFonts w:hint="eastAsia" w:ascii="仿宋" w:hAnsi="仿宋" w:eastAsia="仿宋" w:cs="仿宋"/>
          <w:b/>
          <w:bCs/>
          <w:sz w:val="28"/>
          <w:szCs w:val="28"/>
        </w:rPr>
        <w:t>格式</w:t>
      </w:r>
      <w:r>
        <w:rPr>
          <w:rFonts w:ascii="仿宋" w:hAnsi="仿宋" w:eastAsia="仿宋" w:cs="仿宋"/>
          <w:b/>
          <w:bCs/>
          <w:sz w:val="28"/>
          <w:szCs w:val="28"/>
        </w:rPr>
        <w:t>2-</w:t>
      </w:r>
      <w:r>
        <w:rPr>
          <w:rFonts w:hint="eastAsia" w:ascii="仿宋" w:hAnsi="仿宋" w:eastAsia="仿宋" w:cs="仿宋"/>
          <w:b/>
          <w:bCs/>
          <w:sz w:val="28"/>
          <w:szCs w:val="28"/>
        </w:rPr>
        <w:t>3</w:t>
      </w:r>
    </w:p>
    <w:p>
      <w:pPr>
        <w:pStyle w:val="4"/>
        <w:tabs>
          <w:tab w:val="left" w:pos="426"/>
          <w:tab w:val="left" w:pos="567"/>
        </w:tabs>
        <w:adjustRightInd w:val="0"/>
        <w:spacing w:line="500" w:lineRule="exact"/>
        <w:jc w:val="both"/>
        <w:rPr>
          <w:rFonts w:ascii="仿宋" w:hAnsi="仿宋" w:eastAsia="仿宋" w:cs="仿宋"/>
        </w:rPr>
      </w:pPr>
      <w:r>
        <w:rPr>
          <w:rFonts w:hint="eastAsia" w:ascii="仿宋" w:hAnsi="仿宋" w:eastAsia="仿宋" w:cs="仿宋"/>
        </w:rPr>
        <w:t>三、已标价</w:t>
      </w:r>
      <w:r>
        <w:rPr>
          <w:rFonts w:hint="eastAsia" w:ascii="仿宋" w:hAnsi="仿宋" w:eastAsia="仿宋" w:cs="仿宋"/>
          <w:lang w:val="en-US" w:eastAsia="zh-CN"/>
        </w:rPr>
        <w:t>报价</w:t>
      </w:r>
      <w:r>
        <w:rPr>
          <w:rFonts w:hint="eastAsia" w:ascii="仿宋" w:hAnsi="仿宋" w:eastAsia="仿宋" w:cs="仿宋"/>
        </w:rPr>
        <w:t>清单</w:t>
      </w:r>
    </w:p>
    <w:p>
      <w:pPr>
        <w:widowControl/>
        <w:spacing w:line="360" w:lineRule="auto"/>
        <w:jc w:val="center"/>
        <w:rPr>
          <w:rFonts w:ascii="仿宋" w:hAnsi="仿宋" w:eastAsia="仿宋"/>
          <w:b/>
          <w:bCs/>
          <w:sz w:val="32"/>
          <w:szCs w:val="32"/>
        </w:rPr>
      </w:pPr>
    </w:p>
    <w:p>
      <w:pPr>
        <w:widowControl/>
        <w:numPr>
          <w:ilvl w:val="255"/>
          <w:numId w:val="0"/>
        </w:numPr>
        <w:spacing w:line="440" w:lineRule="exact"/>
        <w:ind w:left="420" w:leftChars="200"/>
        <w:outlineLvl w:val="1"/>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已标价工程量清单按照工程量</w:t>
      </w:r>
      <w:r>
        <w:rPr>
          <w:rFonts w:hint="eastAsia" w:ascii="仿宋" w:hAnsi="仿宋" w:eastAsia="仿宋" w:cs="仿宋"/>
          <w:sz w:val="32"/>
          <w:szCs w:val="32"/>
          <w:lang w:val="en-US" w:eastAsia="zh-CN"/>
        </w:rPr>
        <w:t>报价</w:t>
      </w:r>
      <w:r>
        <w:rPr>
          <w:rFonts w:hint="eastAsia" w:ascii="仿宋" w:hAnsi="仿宋" w:eastAsia="仿宋" w:cs="仿宋"/>
          <w:sz w:val="32"/>
          <w:szCs w:val="32"/>
        </w:rPr>
        <w:t>清单</w:t>
      </w:r>
      <w:r>
        <w:rPr>
          <w:rFonts w:hint="eastAsia" w:ascii="仿宋" w:hAnsi="仿宋" w:eastAsia="仿宋" w:cs="仿宋"/>
          <w:sz w:val="32"/>
          <w:szCs w:val="32"/>
          <w:lang w:val="en-US" w:eastAsia="zh-CN"/>
        </w:rPr>
        <w:t>工艺</w:t>
      </w:r>
      <w:r>
        <w:rPr>
          <w:rFonts w:hint="eastAsia" w:ascii="仿宋" w:hAnsi="仿宋" w:eastAsia="仿宋" w:cs="仿宋"/>
          <w:sz w:val="32"/>
          <w:szCs w:val="32"/>
        </w:rPr>
        <w:t>的相关要求。</w:t>
      </w:r>
    </w:p>
    <w:p>
      <w:pPr>
        <w:widowControl/>
        <w:numPr>
          <w:ilvl w:val="255"/>
          <w:numId w:val="0"/>
        </w:numPr>
        <w:spacing w:line="440" w:lineRule="exact"/>
        <w:ind w:left="420" w:leftChars="200"/>
        <w:outlineLvl w:val="1"/>
        <w:rPr>
          <w:rFonts w:ascii="仿宋" w:hAnsi="仿宋" w:eastAsia="仿宋" w:cs="仿宋"/>
          <w:sz w:val="32"/>
          <w:szCs w:val="32"/>
        </w:rPr>
      </w:pPr>
    </w:p>
    <w:p>
      <w:pPr>
        <w:widowControl/>
        <w:spacing w:line="440" w:lineRule="exact"/>
        <w:ind w:firstLine="480" w:firstLineChars="200"/>
        <w:rPr>
          <w:rFonts w:ascii="仿宋" w:hAnsi="仿宋" w:eastAsia="仿宋" w:cs="仿宋"/>
          <w:sz w:val="24"/>
          <w:szCs w:val="24"/>
        </w:rPr>
      </w:pPr>
      <w:r>
        <w:rPr>
          <w:rFonts w:ascii="仿宋" w:hAnsi="仿宋" w:eastAsia="仿宋" w:cs="仿宋"/>
          <w:sz w:val="24"/>
          <w:szCs w:val="24"/>
        </w:rPr>
        <w:br w:type="page"/>
      </w:r>
    </w:p>
    <w:p>
      <w:pPr>
        <w:spacing w:line="360" w:lineRule="auto"/>
        <w:rPr>
          <w:rFonts w:hint="eastAsia" w:ascii="仿宋" w:hAnsi="仿宋" w:eastAsia="仿宋" w:cs="仿宋"/>
          <w:b/>
          <w:bCs/>
          <w:sz w:val="28"/>
          <w:szCs w:val="28"/>
          <w:lang w:val="en-US" w:eastAsia="zh-CN"/>
        </w:rPr>
      </w:pPr>
      <w:r>
        <w:rPr>
          <w:rFonts w:hint="eastAsia" w:ascii="仿宋" w:hAnsi="仿宋" w:eastAsia="仿宋" w:cs="仿宋"/>
          <w:b/>
          <w:bCs/>
          <w:sz w:val="28"/>
          <w:szCs w:val="28"/>
        </w:rPr>
        <w:t>格式</w:t>
      </w:r>
      <w:r>
        <w:rPr>
          <w:rFonts w:ascii="仿宋" w:hAnsi="仿宋" w:eastAsia="仿宋" w:cs="仿宋"/>
          <w:b/>
          <w:bCs/>
          <w:sz w:val="28"/>
          <w:szCs w:val="28"/>
        </w:rPr>
        <w:t>2-</w:t>
      </w:r>
      <w:r>
        <w:rPr>
          <w:rFonts w:hint="eastAsia" w:ascii="仿宋" w:hAnsi="仿宋" w:eastAsia="仿宋" w:cs="仿宋"/>
          <w:b/>
          <w:bCs/>
          <w:sz w:val="28"/>
          <w:szCs w:val="28"/>
          <w:lang w:val="en-US" w:eastAsia="zh-CN"/>
        </w:rPr>
        <w:t>4</w:t>
      </w:r>
    </w:p>
    <w:p>
      <w:pPr>
        <w:pStyle w:val="4"/>
        <w:tabs>
          <w:tab w:val="left" w:pos="426"/>
          <w:tab w:val="left" w:pos="567"/>
        </w:tabs>
        <w:adjustRightInd w:val="0"/>
        <w:spacing w:before="0" w:after="0" w:line="500" w:lineRule="exact"/>
        <w:jc w:val="center"/>
        <w:rPr>
          <w:rFonts w:ascii="仿宋" w:hAnsi="仿宋" w:eastAsia="仿宋" w:cs="Times New Roman"/>
        </w:rPr>
      </w:pPr>
      <w:r>
        <w:rPr>
          <w:rFonts w:hint="eastAsia" w:ascii="仿宋" w:hAnsi="仿宋" w:eastAsia="仿宋" w:cs="仿宋"/>
        </w:rPr>
        <w:t>七、第N轮（最后）报价表</w:t>
      </w:r>
    </w:p>
    <w:p>
      <w:pPr>
        <w:spacing w:line="360" w:lineRule="auto"/>
        <w:rPr>
          <w:rFonts w:ascii="仿宋" w:hAnsi="仿宋" w:eastAsia="仿宋"/>
          <w:sz w:val="24"/>
          <w:szCs w:val="24"/>
        </w:rPr>
      </w:pPr>
      <w:r>
        <w:rPr>
          <w:rFonts w:hint="eastAsia" w:ascii="仿宋" w:hAnsi="仿宋" w:eastAsia="仿宋" w:cs="仿宋"/>
          <w:sz w:val="24"/>
          <w:szCs w:val="24"/>
        </w:rPr>
        <w:t>项目名称：</w:t>
      </w:r>
      <w:r>
        <w:rPr>
          <w:rFonts w:ascii="仿宋" w:hAnsi="仿宋" w:eastAsia="仿宋" w:cs="仿宋"/>
          <w:sz w:val="24"/>
          <w:szCs w:val="24"/>
          <w:highlight w:val="yellow"/>
          <w:u w:val="single"/>
        </w:rPr>
        <w:t>XXXXXXXX</w:t>
      </w:r>
      <w:r>
        <w:rPr>
          <w:rFonts w:hint="eastAsia" w:ascii="仿宋" w:hAnsi="仿宋" w:eastAsia="仿宋" w:cs="仿宋"/>
          <w:sz w:val="24"/>
          <w:szCs w:val="24"/>
        </w:rPr>
        <w:t>采购项目</w:t>
      </w:r>
    </w:p>
    <w:p>
      <w:pPr>
        <w:spacing w:line="360" w:lineRule="auto"/>
        <w:rPr>
          <w:rFonts w:ascii="仿宋" w:hAnsi="仿宋" w:eastAsia="仿宋"/>
          <w:sz w:val="24"/>
          <w:szCs w:val="24"/>
        </w:rPr>
      </w:pPr>
      <w:r>
        <w:rPr>
          <w:rFonts w:hint="eastAsia" w:ascii="仿宋" w:hAnsi="仿宋" w:eastAsia="仿宋" w:cs="仿宋"/>
          <w:sz w:val="24"/>
          <w:szCs w:val="24"/>
        </w:rPr>
        <w:t>项目编号：</w:t>
      </w:r>
      <w:r>
        <w:rPr>
          <w:rFonts w:ascii="仿宋" w:hAnsi="仿宋" w:eastAsia="仿宋" w:cs="仿宋"/>
          <w:sz w:val="24"/>
          <w:szCs w:val="24"/>
          <w:highlight w:val="yellow"/>
          <w:u w:val="single"/>
        </w:rPr>
        <w:t>XXXXXXXXXXXXXXX</w:t>
      </w:r>
    </w:p>
    <w:tbl>
      <w:tblPr>
        <w:tblStyle w:val="41"/>
        <w:tblpPr w:leftFromText="180" w:rightFromText="180" w:vertAnchor="text" w:tblpXSpec="center" w:tblpY="12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5282"/>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347" w:type="dxa"/>
            <w:vAlign w:val="center"/>
          </w:tcPr>
          <w:p>
            <w:pPr>
              <w:jc w:val="center"/>
              <w:rPr>
                <w:rFonts w:ascii="仿宋" w:hAnsi="仿宋" w:eastAsia="仿宋"/>
                <w:sz w:val="24"/>
                <w:szCs w:val="24"/>
              </w:rPr>
            </w:pPr>
            <w:r>
              <w:rPr>
                <w:rFonts w:hint="eastAsia" w:ascii="仿宋" w:hAnsi="仿宋" w:eastAsia="仿宋" w:cs="仿宋"/>
                <w:sz w:val="24"/>
                <w:szCs w:val="24"/>
              </w:rPr>
              <w:t>序号</w:t>
            </w:r>
          </w:p>
        </w:tc>
        <w:tc>
          <w:tcPr>
            <w:tcW w:w="5282" w:type="dxa"/>
            <w:vAlign w:val="center"/>
          </w:tcPr>
          <w:p>
            <w:pPr>
              <w:jc w:val="center"/>
              <w:rPr>
                <w:rFonts w:ascii="仿宋" w:hAnsi="仿宋" w:eastAsia="仿宋"/>
                <w:sz w:val="24"/>
                <w:szCs w:val="24"/>
              </w:rPr>
            </w:pPr>
            <w:r>
              <w:rPr>
                <w:rFonts w:hint="eastAsia" w:ascii="仿宋" w:hAnsi="仿宋" w:eastAsia="仿宋" w:cs="仿宋"/>
                <w:sz w:val="24"/>
                <w:szCs w:val="24"/>
              </w:rPr>
              <w:t>采购内容</w:t>
            </w:r>
          </w:p>
        </w:tc>
        <w:tc>
          <w:tcPr>
            <w:tcW w:w="2693" w:type="dxa"/>
            <w:vAlign w:val="center"/>
          </w:tcPr>
          <w:p>
            <w:pPr>
              <w:jc w:val="center"/>
              <w:rPr>
                <w:rFonts w:ascii="仿宋" w:hAnsi="仿宋" w:eastAsia="仿宋"/>
                <w:sz w:val="24"/>
                <w:szCs w:val="24"/>
              </w:rPr>
            </w:pPr>
            <w:r>
              <w:rPr>
                <w:rFonts w:hint="eastAsia" w:ascii="仿宋" w:hAnsi="仿宋" w:eastAsia="仿宋" w:cs="仿宋"/>
                <w:sz w:val="24"/>
                <w:szCs w:val="24"/>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347" w:type="dxa"/>
            <w:vAlign w:val="center"/>
          </w:tcPr>
          <w:p>
            <w:pPr>
              <w:jc w:val="center"/>
              <w:rPr>
                <w:rFonts w:ascii="仿宋" w:hAnsi="仿宋" w:eastAsia="仿宋" w:cs="仿宋"/>
                <w:sz w:val="24"/>
                <w:szCs w:val="24"/>
              </w:rPr>
            </w:pPr>
            <w:r>
              <w:rPr>
                <w:rFonts w:ascii="仿宋" w:hAnsi="仿宋" w:eastAsia="仿宋" w:cs="仿宋"/>
                <w:sz w:val="24"/>
                <w:szCs w:val="24"/>
              </w:rPr>
              <w:t>1</w:t>
            </w:r>
          </w:p>
        </w:tc>
        <w:tc>
          <w:tcPr>
            <w:tcW w:w="5282" w:type="dxa"/>
            <w:vAlign w:val="center"/>
          </w:tcPr>
          <w:p>
            <w:pPr>
              <w:jc w:val="center"/>
              <w:rPr>
                <w:rFonts w:ascii="仿宋" w:hAnsi="仿宋" w:eastAsia="仿宋" w:cs="仿宋"/>
                <w:sz w:val="24"/>
                <w:szCs w:val="24"/>
              </w:rPr>
            </w:pPr>
            <w:r>
              <w:rPr>
                <w:rFonts w:ascii="仿宋" w:hAnsi="仿宋" w:eastAsia="仿宋" w:cs="仿宋"/>
                <w:sz w:val="24"/>
                <w:szCs w:val="24"/>
              </w:rPr>
              <w:t>XXX</w:t>
            </w:r>
          </w:p>
        </w:tc>
        <w:tc>
          <w:tcPr>
            <w:tcW w:w="2693" w:type="dxa"/>
            <w:vAlign w:val="center"/>
          </w:tcPr>
          <w:p>
            <w:pPr>
              <w:ind w:firstLine="748" w:firstLineChars="312"/>
              <w:rPr>
                <w:rFonts w:ascii="仿宋" w:hAnsi="仿宋" w:eastAsia="仿宋"/>
                <w:sz w:val="24"/>
                <w:szCs w:val="24"/>
              </w:rPr>
            </w:pPr>
            <w:r>
              <w:rPr>
                <w:rFonts w:ascii="仿宋" w:hAnsi="仿宋" w:eastAsia="仿宋" w:cs="仿宋"/>
                <w:sz w:val="24"/>
                <w:szCs w:val="24"/>
              </w:rPr>
              <w:t>XX</w:t>
            </w:r>
            <w:r>
              <w:rPr>
                <w:rFonts w:hint="eastAsia" w:ascii="仿宋" w:hAnsi="仿宋" w:eastAsia="仿宋" w:cs="仿宋"/>
                <w:sz w:val="24"/>
                <w:szCs w:val="24"/>
              </w:rPr>
              <w:t>元</w:t>
            </w:r>
          </w:p>
        </w:tc>
      </w:tr>
    </w:tbl>
    <w:p>
      <w:pPr>
        <w:snapToGrid w:val="0"/>
        <w:spacing w:line="360" w:lineRule="auto"/>
        <w:ind w:right="-624" w:rightChars="-297"/>
        <w:rPr>
          <w:rFonts w:ascii="仿宋" w:hAnsi="仿宋" w:eastAsia="仿宋"/>
          <w:sz w:val="24"/>
          <w:szCs w:val="24"/>
        </w:rPr>
      </w:pPr>
    </w:p>
    <w:p>
      <w:pPr>
        <w:snapToGrid w:val="0"/>
        <w:spacing w:line="360" w:lineRule="auto"/>
        <w:ind w:right="-624" w:rightChars="-297"/>
        <w:rPr>
          <w:rFonts w:ascii="仿宋" w:hAnsi="仿宋" w:eastAsia="仿宋"/>
          <w:sz w:val="24"/>
          <w:szCs w:val="24"/>
        </w:rPr>
      </w:pPr>
    </w:p>
    <w:p>
      <w:pPr>
        <w:pStyle w:val="158"/>
        <w:rPr>
          <w:rFonts w:ascii="仿宋" w:hAnsi="仿宋" w:eastAsia="仿宋" w:cs="仿宋"/>
          <w:sz w:val="24"/>
          <w:szCs w:val="24"/>
        </w:rPr>
      </w:pPr>
      <w:r>
        <w:rPr>
          <w:rFonts w:hint="eastAsia" w:ascii="仿宋" w:hAnsi="仿宋" w:eastAsia="仿宋" w:cs="仿宋"/>
          <w:sz w:val="24"/>
          <w:szCs w:val="24"/>
        </w:rPr>
        <w:t>最后报价（大写人民币）：</w:t>
      </w:r>
      <w:r>
        <w:rPr>
          <w:rFonts w:ascii="仿宋" w:hAnsi="仿宋" w:eastAsia="仿宋" w:cs="仿宋"/>
          <w:sz w:val="24"/>
          <w:szCs w:val="24"/>
        </w:rPr>
        <w:t>XXXX</w:t>
      </w:r>
    </w:p>
    <w:p>
      <w:pPr>
        <w:pStyle w:val="158"/>
        <w:ind w:firstLine="0"/>
        <w:rPr>
          <w:rFonts w:ascii="仿宋" w:hAnsi="仿宋" w:eastAsia="仿宋"/>
          <w:sz w:val="24"/>
          <w:szCs w:val="24"/>
        </w:rPr>
      </w:pPr>
    </w:p>
    <w:p>
      <w:pPr>
        <w:spacing w:line="400" w:lineRule="exact"/>
        <w:rPr>
          <w:rFonts w:ascii="宋体" w:hAnsi="宋体"/>
          <w:color w:val="000000"/>
          <w:sz w:val="24"/>
        </w:rPr>
      </w:pPr>
      <w:r>
        <w:rPr>
          <w:rFonts w:hint="eastAsia" w:ascii="宋体" w:hAnsi="宋体"/>
          <w:color w:val="000000"/>
          <w:sz w:val="24"/>
        </w:rPr>
        <w:t>供应商名称：</w:t>
      </w:r>
      <w:r>
        <w:rPr>
          <w:rFonts w:hint="eastAsia" w:ascii="宋体" w:hAnsi="宋体"/>
          <w:color w:val="000000"/>
          <w:sz w:val="24"/>
          <w:u w:val="single"/>
        </w:rPr>
        <w:t>（盖单位公章）</w:t>
      </w:r>
    </w:p>
    <w:p>
      <w:pPr>
        <w:spacing w:line="400" w:lineRule="exact"/>
        <w:rPr>
          <w:rFonts w:ascii="宋体" w:hAnsi="宋体"/>
          <w:color w:val="000000"/>
          <w:sz w:val="24"/>
        </w:rPr>
      </w:pPr>
      <w:r>
        <w:rPr>
          <w:rFonts w:hint="eastAsia" w:ascii="宋体" w:hAnsi="宋体"/>
          <w:color w:val="000000"/>
          <w:sz w:val="24"/>
        </w:rPr>
        <w:t>法定代表人（主要负责人/经营者）签字或</w:t>
      </w:r>
      <w:r>
        <w:rPr>
          <w:rFonts w:hint="eastAsia" w:ascii="宋体" w:hAnsi="宋体"/>
          <w:bCs/>
          <w:color w:val="000000"/>
          <w:sz w:val="24"/>
        </w:rPr>
        <w:t>加盖印章</w:t>
      </w:r>
      <w:r>
        <w:rPr>
          <w:rFonts w:hint="eastAsia" w:ascii="宋体" w:hAnsi="宋体"/>
          <w:color w:val="000000"/>
          <w:sz w:val="24"/>
        </w:rPr>
        <w:t>：</w:t>
      </w:r>
    </w:p>
    <w:p>
      <w:pPr>
        <w:spacing w:line="400" w:lineRule="exact"/>
        <w:rPr>
          <w:rFonts w:ascii="宋体" w:hAnsi="宋体"/>
          <w:color w:val="000000"/>
          <w:sz w:val="24"/>
        </w:rPr>
      </w:pPr>
      <w:r>
        <w:rPr>
          <w:rFonts w:hint="eastAsia" w:ascii="宋体" w:hAnsi="宋体"/>
          <w:color w:val="000000"/>
          <w:sz w:val="24"/>
        </w:rPr>
        <w:t>职务：</w:t>
      </w:r>
    </w:p>
    <w:p>
      <w:pPr>
        <w:spacing w:line="400" w:lineRule="exact"/>
        <w:rPr>
          <w:rFonts w:ascii="宋体" w:hAnsi="宋体"/>
          <w:color w:val="000000"/>
          <w:sz w:val="24"/>
        </w:rPr>
      </w:pPr>
      <w:r>
        <w:rPr>
          <w:rFonts w:hint="eastAsia" w:ascii="宋体" w:hAnsi="宋体"/>
          <w:color w:val="000000"/>
          <w:sz w:val="24"/>
        </w:rPr>
        <w:t>被授权人签字或</w:t>
      </w:r>
      <w:r>
        <w:rPr>
          <w:rFonts w:hint="eastAsia" w:ascii="宋体" w:hAnsi="宋体"/>
          <w:bCs/>
          <w:color w:val="000000"/>
          <w:sz w:val="24"/>
        </w:rPr>
        <w:t>加盖印章</w:t>
      </w:r>
      <w:r>
        <w:rPr>
          <w:rFonts w:hint="eastAsia" w:ascii="宋体" w:hAnsi="宋体"/>
          <w:color w:val="000000"/>
          <w:sz w:val="24"/>
        </w:rPr>
        <w:t>：</w:t>
      </w:r>
    </w:p>
    <w:p>
      <w:pPr>
        <w:spacing w:line="400" w:lineRule="exact"/>
        <w:rPr>
          <w:rFonts w:ascii="宋体" w:hAnsi="宋体"/>
          <w:color w:val="000000"/>
          <w:sz w:val="24"/>
        </w:rPr>
      </w:pPr>
      <w:r>
        <w:rPr>
          <w:rFonts w:hint="eastAsia" w:ascii="宋体" w:hAnsi="宋体"/>
          <w:color w:val="000000"/>
          <w:sz w:val="24"/>
        </w:rPr>
        <w:t>职务：</w:t>
      </w:r>
    </w:p>
    <w:p>
      <w:pPr>
        <w:spacing w:line="400" w:lineRule="exact"/>
        <w:rPr>
          <w:rFonts w:ascii="宋体" w:hAnsi="宋体"/>
          <w:color w:val="000000"/>
          <w:sz w:val="24"/>
        </w:rPr>
      </w:pPr>
      <w:r>
        <w:rPr>
          <w:rFonts w:hint="eastAsia" w:ascii="宋体" w:hAnsi="宋体"/>
          <w:color w:val="000000"/>
          <w:sz w:val="24"/>
        </w:rPr>
        <w:t>日期：</w:t>
      </w:r>
    </w:p>
    <w:p>
      <w:pPr>
        <w:pStyle w:val="158"/>
        <w:ind w:firstLine="551"/>
        <w:rPr>
          <w:rFonts w:ascii="仿宋_GB2312" w:hAnsi="仿宋_GB2312" w:eastAsia="仿宋_GB2312" w:cs="仿宋_GB2312"/>
          <w:sz w:val="24"/>
          <w:szCs w:val="24"/>
        </w:rPr>
      </w:pPr>
      <w:r>
        <w:rPr>
          <w:rFonts w:hint="eastAsia" w:ascii="仿宋_GB2312" w:hAnsi="仿宋_GB2312" w:eastAsia="仿宋_GB2312" w:cs="仿宋_GB2312"/>
          <w:sz w:val="24"/>
          <w:szCs w:val="24"/>
        </w:rPr>
        <w:t>说明：</w:t>
      </w:r>
      <w:r>
        <w:rPr>
          <w:rFonts w:ascii="仿宋_GB2312" w:hAnsi="仿宋_GB2312" w:eastAsia="仿宋_GB2312" w:cs="仿宋_GB2312"/>
          <w:sz w:val="24"/>
          <w:szCs w:val="24"/>
        </w:rPr>
        <w:t>1</w:t>
      </w:r>
      <w:r>
        <w:rPr>
          <w:rFonts w:hint="eastAsia" w:ascii="仿宋_GB2312" w:hAnsi="仿宋_GB2312" w:eastAsia="仿宋_GB2312" w:cs="仿宋_GB2312"/>
          <w:sz w:val="24"/>
          <w:szCs w:val="24"/>
        </w:rPr>
        <w:t>、供应商可不在响应文件中填写并提供此表。此表为谈判结束后，由供应商填写“第</w:t>
      </w:r>
      <w:r>
        <w:rPr>
          <w:rFonts w:ascii="仿宋_GB2312" w:hAnsi="仿宋_GB2312" w:eastAsia="仿宋_GB2312" w:cs="仿宋_GB2312"/>
          <w:sz w:val="24"/>
          <w:szCs w:val="24"/>
        </w:rPr>
        <w:t>N轮（</w:t>
      </w:r>
      <w:r>
        <w:rPr>
          <w:rFonts w:hint="eastAsia" w:ascii="仿宋_GB2312" w:hAnsi="仿宋_GB2312" w:eastAsia="仿宋_GB2312" w:cs="仿宋_GB2312"/>
          <w:sz w:val="24"/>
          <w:szCs w:val="24"/>
        </w:rPr>
        <w:t>最后）报价表”，经供应商</w:t>
      </w:r>
      <w:r>
        <w:rPr>
          <w:rFonts w:hint="eastAsia" w:ascii="仿宋_GB2312" w:hAnsi="仿宋_GB2312" w:eastAsia="仿宋_GB2312" w:cs="仿宋_GB2312"/>
          <w:color w:val="000000"/>
          <w:sz w:val="24"/>
          <w:szCs w:val="24"/>
        </w:rPr>
        <w:t>法定代表人（主要负责人、经营者）</w:t>
      </w:r>
      <w:r>
        <w:rPr>
          <w:rFonts w:hint="eastAsia" w:ascii="仿宋_GB2312" w:hAnsi="仿宋_GB2312" w:eastAsia="仿宋_GB2312" w:cs="仿宋_GB2312"/>
          <w:sz w:val="24"/>
          <w:szCs w:val="24"/>
        </w:rPr>
        <w:t>或代理人签字后密封递交给采购人，由其收集齐后集中递交谈判小组。供应商在响应文件中提交此表的，不影响其响应文件的有效性，其最后报价以谈判结束后提交的“最后报价”为准。</w:t>
      </w:r>
    </w:p>
    <w:p>
      <w:pPr>
        <w:pStyle w:val="158"/>
        <w:ind w:firstLine="551"/>
        <w:rPr>
          <w:rFonts w:ascii="仿宋_GB2312" w:hAnsi="仿宋_GB2312" w:eastAsia="仿宋_GB2312" w:cs="仿宋_GB2312"/>
          <w:sz w:val="24"/>
          <w:szCs w:val="24"/>
        </w:rPr>
      </w:pPr>
      <w:r>
        <w:rPr>
          <w:rFonts w:ascii="仿宋_GB2312" w:hAnsi="仿宋_GB2312" w:eastAsia="仿宋_GB2312" w:cs="仿宋_GB2312"/>
          <w:sz w:val="24"/>
          <w:szCs w:val="24"/>
        </w:rPr>
        <w:t>2</w:t>
      </w:r>
      <w:r>
        <w:rPr>
          <w:rFonts w:hint="eastAsia" w:ascii="仿宋_GB2312" w:hAnsi="仿宋_GB2312" w:eastAsia="仿宋_GB2312" w:cs="仿宋_GB2312"/>
          <w:sz w:val="24"/>
          <w:szCs w:val="24"/>
        </w:rPr>
        <w:t>、报价应是包括谈判文件规定的全部相应内容的报价</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注：本次报价只需附报价清单明细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pPr>
        <w:ind w:firstLine="551"/>
        <w:rPr>
          <w:rFonts w:ascii="仿宋" w:hAnsi="仿宋" w:eastAsia="仿宋" w:cs="仿宋"/>
          <w:sz w:val="24"/>
          <w:szCs w:val="24"/>
        </w:rPr>
      </w:pPr>
      <w:r>
        <w:rPr>
          <w:rFonts w:hint="eastAsia" w:ascii="仿宋" w:hAnsi="仿宋" w:eastAsia="仿宋" w:cs="仿宋"/>
          <w:sz w:val="24"/>
          <w:szCs w:val="24"/>
        </w:rPr>
        <w:br w:type="page"/>
      </w:r>
    </w:p>
    <w:p>
      <w:pPr>
        <w:pStyle w:val="3"/>
        <w:spacing w:line="240" w:lineRule="auto"/>
      </w:pPr>
      <w:r>
        <w:rPr>
          <w:rFonts w:hint="eastAsia"/>
        </w:rPr>
        <w:t>第七章 采购合同</w:t>
      </w:r>
    </w:p>
    <w:p>
      <w:pPr>
        <w:pStyle w:val="4"/>
        <w:tabs>
          <w:tab w:val="left" w:pos="426"/>
          <w:tab w:val="left" w:pos="567"/>
        </w:tabs>
        <w:adjustRightInd w:val="0"/>
        <w:spacing w:before="0" w:after="0" w:line="500" w:lineRule="exact"/>
        <w:jc w:val="center"/>
        <w:rPr>
          <w:rFonts w:ascii="仿宋" w:hAnsi="仿宋" w:eastAsia="仿宋" w:cs="仿宋"/>
          <w:b w:val="0"/>
        </w:rPr>
      </w:pPr>
      <w:r>
        <w:rPr>
          <w:rFonts w:hint="eastAsia" w:ascii="仿宋" w:hAnsi="仿宋" w:eastAsia="仿宋" w:cs="仿宋"/>
        </w:rPr>
        <w:t>第一节合同协议书</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（发包人名称，以下简称“发包人”）为实施（项目名称），已接受（承包人名称，以下简称“承包人”</w:t>
      </w:r>
      <w:r>
        <w:rPr>
          <w:rFonts w:ascii="仿宋" w:hAnsi="仿宋" w:eastAsia="仿宋" w:cs="仿宋"/>
          <w:sz w:val="24"/>
          <w:szCs w:val="24"/>
        </w:rPr>
        <w:t>)对（标段名称）的投标，并确定其为中标人。发包人和承包人共同达成如下协议。</w:t>
      </w:r>
    </w:p>
    <w:p>
      <w:pPr>
        <w:pStyle w:val="158"/>
        <w:spacing w:line="36" w:lineRule="auto"/>
        <w:ind w:firstLine="551"/>
        <w:jc w:val="left"/>
        <w:rPr>
          <w:rFonts w:ascii="仿宋" w:hAnsi="仿宋" w:eastAsia="仿宋" w:cs="仿宋"/>
          <w:sz w:val="24"/>
          <w:szCs w:val="24"/>
        </w:rPr>
      </w:pPr>
      <w:r>
        <w:rPr>
          <w:rFonts w:ascii="仿宋" w:hAnsi="仿宋" w:eastAsia="仿宋" w:cs="仿宋"/>
          <w:sz w:val="24"/>
          <w:szCs w:val="24"/>
        </w:rPr>
        <w:t>1.本协议书与下列文件一起构成合同文件：</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成交通知书；</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响应文件；</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3）合同条款；</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4）</w:t>
      </w:r>
      <w:r>
        <w:rPr>
          <w:rFonts w:hint="eastAsia" w:ascii="仿宋" w:hAnsi="仿宋" w:eastAsia="仿宋" w:cs="仿宋"/>
          <w:sz w:val="24"/>
          <w:szCs w:val="24"/>
        </w:rPr>
        <w:t>技术标准和要求</w:t>
      </w:r>
      <w:r>
        <w:rPr>
          <w:rFonts w:ascii="仿宋" w:hAnsi="仿宋" w:eastAsia="仿宋" w:cs="仿宋"/>
          <w:sz w:val="24"/>
          <w:szCs w:val="24"/>
        </w:rPr>
        <w:t>(合同技术条款)；</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（5）图纸；</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（6）已标价工程量清单；</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（7）其他合同文件。</w:t>
      </w:r>
    </w:p>
    <w:p>
      <w:pPr>
        <w:pStyle w:val="158"/>
        <w:spacing w:line="36" w:lineRule="auto"/>
        <w:ind w:firstLine="551"/>
        <w:jc w:val="left"/>
        <w:rPr>
          <w:rFonts w:ascii="仿宋" w:hAnsi="仿宋" w:eastAsia="仿宋" w:cs="仿宋"/>
          <w:sz w:val="24"/>
          <w:szCs w:val="24"/>
        </w:rPr>
      </w:pPr>
      <w:r>
        <w:rPr>
          <w:rFonts w:ascii="仿宋" w:hAnsi="仿宋" w:eastAsia="仿宋" w:cs="仿宋"/>
          <w:sz w:val="24"/>
          <w:szCs w:val="24"/>
        </w:rPr>
        <w:t>2.上述文件互相补充和解释，如有不明确或不一致之处，以合同约定次序在先者为准。</w:t>
      </w:r>
    </w:p>
    <w:p>
      <w:pPr>
        <w:pStyle w:val="158"/>
        <w:spacing w:line="36" w:lineRule="auto"/>
        <w:ind w:firstLine="551"/>
        <w:jc w:val="left"/>
        <w:rPr>
          <w:rFonts w:ascii="仿宋" w:hAnsi="仿宋" w:eastAsia="仿宋" w:cs="仿宋"/>
          <w:sz w:val="24"/>
          <w:szCs w:val="24"/>
        </w:rPr>
      </w:pPr>
      <w:r>
        <w:rPr>
          <w:rFonts w:ascii="仿宋" w:hAnsi="仿宋" w:eastAsia="仿宋" w:cs="仿宋"/>
          <w:sz w:val="24"/>
          <w:szCs w:val="24"/>
        </w:rPr>
        <w:t>3.签约合同价：人民币(大写)元(¥元)。</w:t>
      </w:r>
    </w:p>
    <w:p>
      <w:pPr>
        <w:pStyle w:val="158"/>
        <w:spacing w:line="36" w:lineRule="auto"/>
        <w:ind w:firstLine="551"/>
        <w:jc w:val="left"/>
        <w:rPr>
          <w:rFonts w:hint="eastAsia" w:ascii="仿宋" w:hAnsi="仿宋" w:eastAsia="仿宋" w:cs="仿宋"/>
          <w:sz w:val="24"/>
          <w:szCs w:val="24"/>
          <w:lang w:val="en-US" w:eastAsia="zh-CN"/>
        </w:rPr>
      </w:pPr>
      <w:r>
        <w:rPr>
          <w:rFonts w:ascii="仿宋" w:hAnsi="仿宋" w:eastAsia="仿宋" w:cs="仿宋"/>
          <w:kern w:val="2"/>
          <w:sz w:val="24"/>
          <w:szCs w:val="24"/>
          <w:lang w:val="en-US" w:eastAsia="zh-CN" w:bidi="ar-SA"/>
        </w:rPr>
        <w:t>4.</w:t>
      </w:r>
      <w:r>
        <w:rPr>
          <w:rFonts w:hint="eastAsia" w:ascii="仿宋" w:hAnsi="仿宋" w:eastAsia="仿宋" w:cs="仿宋"/>
          <w:kern w:val="2"/>
          <w:sz w:val="24"/>
          <w:szCs w:val="24"/>
          <w:lang w:val="en-US" w:eastAsia="zh-CN" w:bidi="ar-SA"/>
        </w:rPr>
        <w:t>支付方式：</w:t>
      </w:r>
      <w:r>
        <w:rPr>
          <w:rFonts w:hint="eastAsia" w:ascii="仿宋" w:hAnsi="仿宋" w:eastAsia="仿宋" w:cs="仿宋"/>
          <w:sz w:val="24"/>
          <w:szCs w:val="24"/>
          <w:lang w:val="en-US" w:eastAsia="zh-CN"/>
        </w:rPr>
        <w:t>支付采取银行转账方式。项目完工验收合格后，乙方及时向甲方提交由现场代表签字确认的结算书，待甲方审查完毕后，乙方开具相应的增值税专用发票，甲方收到发票后按照单位内控管理制度管理办法完成相关手续后，一次性付清所有款项。</w:t>
      </w:r>
    </w:p>
    <w:p>
      <w:pPr>
        <w:pStyle w:val="158"/>
        <w:spacing w:line="36" w:lineRule="auto"/>
        <w:ind w:firstLine="551"/>
        <w:jc w:val="left"/>
        <w:rPr>
          <w:rFonts w:ascii="仿宋" w:hAnsi="仿宋" w:eastAsia="仿宋" w:cs="仿宋"/>
          <w:sz w:val="24"/>
          <w:szCs w:val="24"/>
        </w:rPr>
      </w:pPr>
      <w:r>
        <w:rPr>
          <w:rFonts w:ascii="仿宋" w:hAnsi="仿宋" w:eastAsia="仿宋" w:cs="仿宋"/>
          <w:sz w:val="24"/>
          <w:szCs w:val="24"/>
        </w:rPr>
        <w:t>5.工程质量达到标准。</w:t>
      </w:r>
    </w:p>
    <w:p>
      <w:pPr>
        <w:pStyle w:val="158"/>
        <w:spacing w:line="36" w:lineRule="auto"/>
        <w:ind w:firstLine="551"/>
        <w:jc w:val="left"/>
        <w:rPr>
          <w:rFonts w:ascii="仿宋" w:hAnsi="仿宋" w:eastAsia="仿宋" w:cs="仿宋"/>
          <w:sz w:val="24"/>
          <w:szCs w:val="24"/>
        </w:rPr>
      </w:pPr>
      <w:r>
        <w:rPr>
          <w:rFonts w:ascii="仿宋" w:hAnsi="仿宋" w:eastAsia="仿宋" w:cs="仿宋"/>
          <w:sz w:val="24"/>
          <w:szCs w:val="24"/>
        </w:rPr>
        <w:t>6.承包人承诺按合同约定承担工程的实施、完成、缺陷修复及保修。</w:t>
      </w:r>
    </w:p>
    <w:p>
      <w:pPr>
        <w:pStyle w:val="158"/>
        <w:spacing w:line="36" w:lineRule="auto"/>
        <w:ind w:firstLine="551"/>
        <w:jc w:val="left"/>
        <w:rPr>
          <w:rFonts w:ascii="仿宋" w:hAnsi="仿宋" w:eastAsia="仿宋" w:cs="仿宋"/>
          <w:sz w:val="24"/>
          <w:szCs w:val="24"/>
        </w:rPr>
      </w:pPr>
      <w:r>
        <w:rPr>
          <w:rFonts w:ascii="仿宋" w:hAnsi="仿宋" w:eastAsia="仿宋" w:cs="仿宋"/>
          <w:sz w:val="24"/>
          <w:szCs w:val="24"/>
        </w:rPr>
        <w:t>7.发包人承诺按合同约定的条件、时间和方式向承包人支付合同价款。</w:t>
      </w:r>
    </w:p>
    <w:p>
      <w:pPr>
        <w:pStyle w:val="158"/>
        <w:spacing w:line="36" w:lineRule="auto"/>
        <w:ind w:firstLine="551"/>
        <w:jc w:val="left"/>
        <w:rPr>
          <w:rFonts w:ascii="仿宋" w:hAnsi="仿宋" w:eastAsia="仿宋" w:cs="仿宋"/>
          <w:sz w:val="24"/>
          <w:szCs w:val="24"/>
        </w:rPr>
      </w:pPr>
      <w:r>
        <w:rPr>
          <w:rFonts w:ascii="仿宋" w:hAnsi="仿宋" w:eastAsia="仿宋" w:cs="仿宋"/>
          <w:sz w:val="24"/>
          <w:szCs w:val="24"/>
        </w:rPr>
        <w:t>9.本协议书一式　　份，合同双方各执份。</w:t>
      </w:r>
    </w:p>
    <w:p>
      <w:pPr>
        <w:pStyle w:val="158"/>
        <w:spacing w:line="36" w:lineRule="auto"/>
        <w:ind w:firstLine="551"/>
        <w:jc w:val="left"/>
        <w:rPr>
          <w:rFonts w:ascii="仿宋" w:hAnsi="仿宋" w:eastAsia="仿宋" w:cs="仿宋"/>
          <w:sz w:val="24"/>
          <w:szCs w:val="24"/>
        </w:rPr>
      </w:pPr>
      <w:r>
        <w:rPr>
          <w:rFonts w:ascii="仿宋" w:hAnsi="仿宋" w:eastAsia="仿宋" w:cs="仿宋"/>
          <w:sz w:val="24"/>
          <w:szCs w:val="24"/>
        </w:rPr>
        <w:t>10.本合同在(填写签订地点)签订。</w:t>
      </w:r>
    </w:p>
    <w:p>
      <w:pPr>
        <w:pStyle w:val="158"/>
        <w:spacing w:line="36" w:lineRule="auto"/>
        <w:ind w:firstLine="551"/>
        <w:jc w:val="left"/>
        <w:rPr>
          <w:rFonts w:ascii="仿宋" w:hAnsi="仿宋" w:eastAsia="仿宋" w:cs="仿宋"/>
          <w:sz w:val="24"/>
          <w:szCs w:val="24"/>
        </w:rPr>
      </w:pPr>
      <w:r>
        <w:rPr>
          <w:rFonts w:ascii="仿宋" w:hAnsi="仿宋" w:eastAsia="仿宋" w:cs="仿宋"/>
          <w:sz w:val="24"/>
          <w:szCs w:val="24"/>
        </w:rPr>
        <w:t>11.合同未尽事宜，双方另行签订补充协议。补充协议是合同的组成部分。</w:t>
      </w:r>
    </w:p>
    <w:p>
      <w:pPr>
        <w:pStyle w:val="158"/>
        <w:spacing w:line="36" w:lineRule="auto"/>
        <w:ind w:firstLine="551"/>
        <w:jc w:val="left"/>
        <w:rPr>
          <w:rFonts w:ascii="仿宋" w:hAnsi="仿宋" w:eastAsia="仿宋" w:cs="仿宋"/>
          <w:sz w:val="24"/>
          <w:szCs w:val="24"/>
        </w:rPr>
      </w:pP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发包人：（盖章）                      承包人：（盖章）</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法定代表人：（签名）                  法定代表人：（签名）</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或授权代表人：（签名）                或授权代表人：（签名）</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单位地址：                            单位地址：</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邮政编码：                            邮政编码：</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电话：                                电话：</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电子信箱：                            电子信箱：</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传真：                                传真：</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开户银行：                            开户银行：</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帐号：                                帐号：</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纳税人识别号：                        纳税人识别号：</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签订地点：                            签订地点：</w:t>
      </w:r>
    </w:p>
    <w:p>
      <w:pPr>
        <w:pStyle w:val="158"/>
        <w:spacing w:line="36" w:lineRule="auto"/>
        <w:ind w:firstLine="551"/>
        <w:jc w:val="left"/>
        <w:rPr>
          <w:rFonts w:ascii="仿宋" w:hAnsi="仿宋" w:eastAsia="仿宋" w:cs="仿宋"/>
          <w:sz w:val="24"/>
          <w:szCs w:val="24"/>
        </w:rPr>
      </w:pPr>
      <w:r>
        <w:rPr>
          <w:rFonts w:hint="eastAsia" w:ascii="仿宋" w:hAnsi="仿宋" w:eastAsia="仿宋" w:cs="仿宋"/>
          <w:sz w:val="24"/>
          <w:szCs w:val="24"/>
        </w:rPr>
        <w:t>签订时间：    年  月  日              签订时间：    年  月  日</w:t>
      </w:r>
    </w:p>
    <w:p>
      <w:pPr>
        <w:ind w:firstLine="551"/>
        <w:rPr>
          <w:rFonts w:ascii="仿宋" w:hAnsi="仿宋" w:eastAsia="仿宋" w:cs="仿宋"/>
          <w:sz w:val="24"/>
          <w:szCs w:val="24"/>
        </w:rPr>
      </w:pPr>
      <w:r>
        <w:rPr>
          <w:rFonts w:hint="eastAsia" w:ascii="仿宋" w:hAnsi="仿宋" w:eastAsia="仿宋" w:cs="仿宋"/>
          <w:sz w:val="24"/>
          <w:szCs w:val="24"/>
        </w:rPr>
        <w:br w:type="page"/>
      </w:r>
    </w:p>
    <w:p>
      <w:pPr>
        <w:pStyle w:val="4"/>
        <w:tabs>
          <w:tab w:val="left" w:pos="426"/>
          <w:tab w:val="left" w:pos="567"/>
        </w:tabs>
        <w:adjustRightInd w:val="0"/>
        <w:spacing w:before="0" w:after="0" w:line="500" w:lineRule="exact"/>
        <w:jc w:val="center"/>
        <w:rPr>
          <w:rFonts w:ascii="仿宋" w:hAnsi="仿宋" w:eastAsia="仿宋" w:cs="仿宋"/>
        </w:rPr>
      </w:pPr>
      <w:r>
        <w:rPr>
          <w:rFonts w:hint="eastAsia" w:ascii="仿宋" w:hAnsi="仿宋" w:eastAsia="仿宋" w:cs="仿宋"/>
        </w:rPr>
        <w:t>第二节合同条款</w:t>
      </w:r>
    </w:p>
    <w:p>
      <w:pPr>
        <w:adjustRightInd w:val="0"/>
        <w:spacing w:line="360" w:lineRule="auto"/>
        <w:jc w:val="both"/>
        <w:rPr>
          <w:rFonts w:ascii="宋体" w:hAnsi="宋体" w:cs="宋体"/>
          <w:b/>
          <w:bCs/>
          <w:sz w:val="24"/>
          <w:szCs w:val="24"/>
        </w:rPr>
      </w:pPr>
    </w:p>
    <w:p>
      <w:pPr>
        <w:tabs>
          <w:tab w:val="left" w:pos="426"/>
          <w:tab w:val="left" w:pos="567"/>
        </w:tabs>
        <w:adjustRightInd w:val="0"/>
        <w:spacing w:line="560" w:lineRule="exact"/>
        <w:ind w:firstLine="640" w:firstLineChars="200"/>
        <w:jc w:val="left"/>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1、乙方保证所供的货物皆为符合国家标准的合格产品，皆为原厂原装、全新、未使用过的，并与甲方确认的样品品质一致；</w:t>
      </w:r>
    </w:p>
    <w:p>
      <w:pPr>
        <w:tabs>
          <w:tab w:val="left" w:pos="426"/>
          <w:tab w:val="left" w:pos="567"/>
        </w:tabs>
        <w:adjustRightInd w:val="0"/>
        <w:spacing w:line="560" w:lineRule="exact"/>
        <w:ind w:firstLine="640" w:firstLineChars="200"/>
        <w:jc w:val="left"/>
        <w:rPr>
          <w:rFonts w:hint="eastAsia" w:ascii="Times New Roman" w:hAnsi="Times New Roman" w:eastAsia="仿宋_GB2312" w:cs="Times New Roman"/>
          <w:color w:val="000000"/>
          <w:sz w:val="32"/>
          <w:szCs w:val="32"/>
        </w:rPr>
      </w:pPr>
      <w:bookmarkStart w:id="61" w:name="page3"/>
      <w:bookmarkEnd w:id="61"/>
      <w:r>
        <w:rPr>
          <w:rFonts w:hint="eastAsia" w:ascii="Times New Roman" w:hAnsi="Times New Roman" w:eastAsia="仿宋_GB2312" w:cs="Times New Roman"/>
          <w:color w:val="000000"/>
          <w:sz w:val="32"/>
          <w:szCs w:val="32"/>
        </w:rPr>
        <w:t>2.工程质量保修期：工程完工验收合格后12个月</w:t>
      </w:r>
      <w:r>
        <w:rPr>
          <w:rFonts w:hint="eastAsia" w:ascii="Times New Roman" w:hAnsi="Times New Roman" w:eastAsia="仿宋_GB2312" w:cs="Times New Roman"/>
          <w:color w:val="000000"/>
          <w:sz w:val="32"/>
          <w:szCs w:val="32"/>
          <w:lang w:eastAsia="zh-CN"/>
        </w:rPr>
        <w:t>。</w:t>
      </w:r>
      <w:r>
        <w:rPr>
          <w:rFonts w:hint="eastAsia" w:ascii="Times New Roman" w:hAnsi="Times New Roman" w:eastAsia="仿宋_GB2312" w:cs="Times New Roman"/>
          <w:color w:val="000000"/>
          <w:sz w:val="32"/>
          <w:szCs w:val="32"/>
        </w:rPr>
        <w:t>质保期内出现故障，乙方应在接到甲方通知后24小时内予以响应，2日内予以修复解决。超出质保期后，甲方若要求乙方检修等，则应支付乙方相应的材料费及人工费。</w:t>
      </w:r>
    </w:p>
    <w:p>
      <w:pPr>
        <w:tabs>
          <w:tab w:val="left" w:pos="426"/>
          <w:tab w:val="left" w:pos="567"/>
        </w:tabs>
        <w:adjustRightInd w:val="0"/>
        <w:spacing w:line="560" w:lineRule="exact"/>
        <w:ind w:firstLine="640" w:firstLineChars="200"/>
        <w:jc w:val="left"/>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3.</w:t>
      </w:r>
      <w:r>
        <w:rPr>
          <w:rFonts w:hint="eastAsia" w:ascii="Times New Roman" w:hAnsi="Times New Roman" w:eastAsia="仿宋_GB2312" w:cs="Times New Roman"/>
          <w:color w:val="000000"/>
          <w:sz w:val="32"/>
          <w:szCs w:val="32"/>
        </w:rPr>
        <w:t>已完工程成品保护的特殊要求及费用承担：已完工工程末交付发包人之前，承包方负责已完工程的保护，其费用已包含在合同报价中。已完工程的的成品受到的损害，由承包人负责维修，费用由承包人承担。</w:t>
      </w:r>
    </w:p>
    <w:p>
      <w:pPr>
        <w:tabs>
          <w:tab w:val="left" w:pos="426"/>
          <w:tab w:val="left" w:pos="567"/>
        </w:tabs>
        <w:adjustRightInd w:val="0"/>
        <w:spacing w:line="560" w:lineRule="exact"/>
        <w:ind w:firstLine="640" w:firstLineChars="200"/>
        <w:jc w:val="left"/>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4</w:t>
      </w:r>
      <w:r>
        <w:rPr>
          <w:rFonts w:hint="eastAsia" w:ascii="Times New Roman" w:hAnsi="Times New Roman" w:eastAsia="仿宋_GB2312" w:cs="Times New Roman"/>
          <w:color w:val="000000"/>
          <w:sz w:val="32"/>
          <w:szCs w:val="32"/>
        </w:rPr>
        <w:t>.施工安全、治安保卫和环境保护</w:t>
      </w:r>
    </w:p>
    <w:p>
      <w:pPr>
        <w:tabs>
          <w:tab w:val="left" w:pos="426"/>
          <w:tab w:val="left" w:pos="567"/>
        </w:tabs>
        <w:adjustRightInd w:val="0"/>
        <w:spacing w:line="560" w:lineRule="exact"/>
        <w:ind w:firstLine="640" w:firstLineChars="200"/>
        <w:jc w:val="left"/>
        <w:rPr>
          <w:rFonts w:eastAsia="仿宋_GB2312"/>
          <w:color w:val="000000"/>
        </w:rPr>
      </w:pPr>
      <w:r>
        <w:rPr>
          <w:rFonts w:hint="eastAsia" w:ascii="Times New Roman" w:hAnsi="Times New Roman" w:eastAsia="仿宋_GB2312" w:cs="Times New Roman"/>
          <w:color w:val="000000"/>
          <w:sz w:val="32"/>
          <w:szCs w:val="32"/>
          <w:lang w:val="en-US" w:eastAsia="zh-CN"/>
        </w:rPr>
        <w:t>4</w:t>
      </w:r>
      <w:r>
        <w:rPr>
          <w:rFonts w:hint="eastAsia" w:ascii="Times New Roman" w:hAnsi="Times New Roman" w:eastAsia="仿宋_GB2312" w:cs="Times New Roman"/>
          <w:color w:val="000000"/>
          <w:sz w:val="32"/>
          <w:szCs w:val="32"/>
        </w:rPr>
        <w:t>.1发包人对施工安全责任的约定：负责派</w:t>
      </w:r>
      <w:r>
        <w:rPr>
          <w:rFonts w:hint="eastAsia" w:eastAsia="仿宋_GB2312"/>
          <w:color w:val="000000"/>
          <w:sz w:val="32"/>
          <w:szCs w:val="32"/>
        </w:rPr>
        <w:t>驻的工作人员监督安全生产工作。</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lang w:val="en-US" w:eastAsia="zh-CN"/>
        </w:rPr>
        <w:t>4</w:t>
      </w:r>
      <w:r>
        <w:rPr>
          <w:rFonts w:hint="eastAsia" w:eastAsia="仿宋_GB2312"/>
          <w:color w:val="000000"/>
          <w:sz w:val="32"/>
          <w:szCs w:val="32"/>
        </w:rPr>
        <w:t>.2承包人进场后负责收集施工安全所需资料，并承担相关费用。</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lang w:val="en-US" w:eastAsia="zh-CN"/>
        </w:rPr>
        <w:t>4</w:t>
      </w:r>
      <w:r>
        <w:rPr>
          <w:rFonts w:hint="eastAsia" w:eastAsia="仿宋_GB2312"/>
          <w:color w:val="000000"/>
          <w:sz w:val="32"/>
          <w:szCs w:val="32"/>
        </w:rPr>
        <w:t>.3合同约定的安全作业环境及安全施工措施和按要求需要增加的安全、环保等措施所需费用包括在相关工作的合同价格中，发包人不另行增加费用。</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lang w:val="en-US" w:eastAsia="zh-CN"/>
        </w:rPr>
        <w:t>4</w:t>
      </w:r>
      <w:r>
        <w:rPr>
          <w:rFonts w:hint="eastAsia" w:eastAsia="仿宋_GB2312"/>
          <w:color w:val="000000"/>
          <w:sz w:val="32"/>
          <w:szCs w:val="32"/>
        </w:rPr>
        <w:t>.4承包人对施工安全责任的约定：对施工现场的一切伤害等安全事故负责，损失和费用由承包人自行承担。</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lang w:val="en-US" w:eastAsia="zh-CN"/>
        </w:rPr>
        <w:t>4</w:t>
      </w:r>
      <w:r>
        <w:rPr>
          <w:rFonts w:hint="eastAsia" w:eastAsia="仿宋_GB2312"/>
          <w:color w:val="000000"/>
          <w:sz w:val="32"/>
          <w:szCs w:val="32"/>
        </w:rPr>
        <w:t>.5承包人应按创建文明建设工地的规划和办法，履行职责，承担相应责任。除合同另有约定外，所需费用应含在已标价工程量清单中，发包人不另行增加费用。</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lang w:val="en-US" w:eastAsia="zh-CN"/>
        </w:rPr>
        <w:t>5</w:t>
      </w:r>
      <w:r>
        <w:rPr>
          <w:rFonts w:eastAsia="仿宋_GB2312"/>
          <w:color w:val="000000"/>
          <w:sz w:val="32"/>
          <w:szCs w:val="32"/>
        </w:rPr>
        <w:t>.</w:t>
      </w:r>
      <w:r>
        <w:rPr>
          <w:rFonts w:hint="eastAsia" w:eastAsia="仿宋_GB2312"/>
          <w:color w:val="000000"/>
          <w:sz w:val="32"/>
          <w:szCs w:val="32"/>
        </w:rPr>
        <w:t>开工和完工</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lang w:val="en-US" w:eastAsia="zh-CN"/>
        </w:rPr>
        <w:t>5</w:t>
      </w:r>
      <w:r>
        <w:rPr>
          <w:rFonts w:hint="eastAsia" w:eastAsia="仿宋_GB2312"/>
          <w:color w:val="000000"/>
          <w:sz w:val="32"/>
          <w:szCs w:val="32"/>
        </w:rPr>
        <w:t>.1若发包人未能按合同约定向承包人提供开工的必要条件，承包人有权要求延长工期。发包人同意延长工期，但不另行增加费用。</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lang w:val="en-US" w:eastAsia="zh-CN"/>
        </w:rPr>
        <w:t>5</w:t>
      </w:r>
      <w:r>
        <w:rPr>
          <w:rFonts w:hint="eastAsia" w:eastAsia="仿宋_GB2312"/>
          <w:color w:val="000000"/>
          <w:sz w:val="32"/>
          <w:szCs w:val="32"/>
        </w:rPr>
        <w:t>.</w:t>
      </w:r>
      <w:r>
        <w:rPr>
          <w:rFonts w:hint="eastAsia" w:eastAsia="仿宋_GB2312"/>
          <w:color w:val="000000"/>
          <w:sz w:val="32"/>
          <w:szCs w:val="32"/>
          <w:lang w:val="en-US" w:eastAsia="zh-CN"/>
        </w:rPr>
        <w:t>2</w:t>
      </w:r>
      <w:r>
        <w:rPr>
          <w:rFonts w:hint="eastAsia" w:eastAsia="仿宋_GB2312"/>
          <w:color w:val="000000"/>
          <w:sz w:val="32"/>
          <w:szCs w:val="32"/>
        </w:rPr>
        <w:t>发包人的工期延误</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rPr>
        <w:t>在履行合同过程中，由于发包人的下列原因造成工期延误的，发包人只同意延长工期，不增加费用和不支付利润。</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lang w:val="en-US" w:eastAsia="zh-CN"/>
        </w:rPr>
        <w:t>5</w:t>
      </w:r>
      <w:r>
        <w:rPr>
          <w:rFonts w:hint="eastAsia" w:eastAsia="仿宋_GB2312"/>
          <w:color w:val="000000"/>
          <w:sz w:val="32"/>
          <w:szCs w:val="32"/>
        </w:rPr>
        <w:t>.</w:t>
      </w:r>
      <w:r>
        <w:rPr>
          <w:rFonts w:hint="eastAsia" w:eastAsia="仿宋_GB2312"/>
          <w:color w:val="000000"/>
          <w:sz w:val="32"/>
          <w:szCs w:val="32"/>
          <w:lang w:val="en-US" w:eastAsia="zh-CN"/>
        </w:rPr>
        <w:t>3</w:t>
      </w:r>
      <w:r>
        <w:rPr>
          <w:rFonts w:hint="eastAsia" w:eastAsia="仿宋_GB2312"/>
          <w:color w:val="000000"/>
          <w:sz w:val="32"/>
          <w:szCs w:val="32"/>
        </w:rPr>
        <w:t>本合同工程界定异常恶劣气候条件的范围为：</w:t>
      </w:r>
    </w:p>
    <w:p>
      <w:pPr>
        <w:tabs>
          <w:tab w:val="left" w:pos="426"/>
          <w:tab w:val="left" w:pos="567"/>
        </w:tabs>
        <w:adjustRightInd w:val="0"/>
        <w:spacing w:line="560" w:lineRule="exact"/>
        <w:ind w:firstLine="640" w:firstLineChars="200"/>
        <w:jc w:val="left"/>
        <w:rPr>
          <w:rFonts w:eastAsia="仿宋_GB2312"/>
          <w:color w:val="000000"/>
        </w:rPr>
      </w:pPr>
      <w:r>
        <w:rPr>
          <w:rFonts w:eastAsia="仿宋_GB2312"/>
          <w:color w:val="000000"/>
          <w:sz w:val="32"/>
          <w:szCs w:val="32"/>
        </w:rPr>
        <w:t>(1)</w:t>
      </w:r>
      <w:r>
        <w:rPr>
          <w:rFonts w:hint="eastAsia" w:eastAsia="仿宋_GB2312"/>
          <w:color w:val="000000"/>
          <w:sz w:val="32"/>
          <w:szCs w:val="32"/>
        </w:rPr>
        <w:t>日降雨量大于</w:t>
      </w:r>
      <w:r>
        <w:rPr>
          <w:rFonts w:eastAsia="仿宋_GB2312"/>
          <w:color w:val="000000"/>
          <w:sz w:val="32"/>
          <w:szCs w:val="32"/>
        </w:rPr>
        <w:t>200mm</w:t>
      </w:r>
      <w:r>
        <w:rPr>
          <w:rFonts w:hint="eastAsia" w:eastAsia="仿宋_GB2312"/>
          <w:color w:val="000000"/>
          <w:sz w:val="32"/>
          <w:szCs w:val="32"/>
        </w:rPr>
        <w:t>的；</w:t>
      </w:r>
    </w:p>
    <w:p>
      <w:pPr>
        <w:tabs>
          <w:tab w:val="left" w:pos="426"/>
          <w:tab w:val="left" w:pos="567"/>
        </w:tabs>
        <w:adjustRightInd w:val="0"/>
        <w:spacing w:line="560" w:lineRule="exact"/>
        <w:ind w:firstLine="640" w:firstLineChars="200"/>
        <w:jc w:val="left"/>
        <w:rPr>
          <w:rFonts w:eastAsia="仿宋_GB2312"/>
          <w:color w:val="000000"/>
        </w:rPr>
      </w:pPr>
      <w:r>
        <w:rPr>
          <w:rFonts w:eastAsia="仿宋_GB2312"/>
          <w:color w:val="000000"/>
          <w:sz w:val="32"/>
          <w:szCs w:val="32"/>
        </w:rPr>
        <w:t>(2)</w:t>
      </w:r>
      <w:r>
        <w:rPr>
          <w:rFonts w:hint="eastAsia" w:eastAsia="仿宋_GB2312"/>
          <w:color w:val="000000"/>
          <w:sz w:val="32"/>
          <w:szCs w:val="32"/>
        </w:rPr>
        <w:t>风速大于</w:t>
      </w:r>
      <w:r>
        <w:rPr>
          <w:rFonts w:eastAsia="仿宋_GB2312"/>
          <w:color w:val="000000"/>
          <w:sz w:val="32"/>
          <w:szCs w:val="32"/>
        </w:rPr>
        <w:t>/m/s</w:t>
      </w:r>
      <w:r>
        <w:rPr>
          <w:rFonts w:hint="eastAsia" w:eastAsia="仿宋_GB2312"/>
          <w:color w:val="000000"/>
          <w:sz w:val="32"/>
          <w:szCs w:val="32"/>
        </w:rPr>
        <w:t>的</w:t>
      </w:r>
      <w:r>
        <w:rPr>
          <w:rFonts w:eastAsia="仿宋_GB2312"/>
          <w:color w:val="000000"/>
          <w:sz w:val="32"/>
          <w:szCs w:val="32"/>
        </w:rPr>
        <w:t>8</w:t>
      </w:r>
      <w:r>
        <w:rPr>
          <w:rFonts w:hint="eastAsia" w:eastAsia="仿宋_GB2312"/>
          <w:color w:val="000000"/>
          <w:sz w:val="32"/>
          <w:szCs w:val="32"/>
        </w:rPr>
        <w:t>级以上台风灾害；</w:t>
      </w:r>
    </w:p>
    <w:p>
      <w:pPr>
        <w:tabs>
          <w:tab w:val="left" w:pos="426"/>
          <w:tab w:val="left" w:pos="567"/>
        </w:tabs>
        <w:adjustRightInd w:val="0"/>
        <w:spacing w:line="560" w:lineRule="exact"/>
        <w:ind w:firstLine="640" w:firstLineChars="200"/>
        <w:jc w:val="left"/>
        <w:rPr>
          <w:rFonts w:eastAsia="仿宋_GB2312"/>
          <w:color w:val="000000"/>
        </w:rPr>
      </w:pPr>
      <w:r>
        <w:rPr>
          <w:rFonts w:eastAsia="仿宋_GB2312"/>
          <w:color w:val="000000"/>
          <w:sz w:val="32"/>
          <w:szCs w:val="32"/>
        </w:rPr>
        <w:t>(3)</w:t>
      </w:r>
      <w:r>
        <w:rPr>
          <w:rFonts w:hint="eastAsia" w:eastAsia="仿宋_GB2312"/>
          <w:color w:val="000000"/>
          <w:sz w:val="32"/>
          <w:szCs w:val="32"/>
        </w:rPr>
        <w:t>日气温超过</w:t>
      </w:r>
      <w:r>
        <w:rPr>
          <w:rFonts w:eastAsia="仿宋_GB2312"/>
          <w:color w:val="000000"/>
          <w:sz w:val="32"/>
          <w:szCs w:val="32"/>
        </w:rPr>
        <w:t>38</w:t>
      </w:r>
      <w:r>
        <w:rPr>
          <w:rFonts w:hint="eastAsia" w:eastAsia="仿宋_GB2312"/>
          <w:color w:val="000000"/>
          <w:sz w:val="32"/>
          <w:szCs w:val="32"/>
        </w:rPr>
        <w:t>℃的高温连续大于</w:t>
      </w:r>
      <w:r>
        <w:rPr>
          <w:rFonts w:eastAsia="仿宋_GB2312"/>
          <w:color w:val="000000"/>
          <w:sz w:val="32"/>
          <w:szCs w:val="32"/>
        </w:rPr>
        <w:t>5</w:t>
      </w:r>
      <w:r>
        <w:rPr>
          <w:rFonts w:hint="eastAsia" w:eastAsia="仿宋_GB2312"/>
          <w:color w:val="000000"/>
          <w:sz w:val="32"/>
          <w:szCs w:val="32"/>
        </w:rPr>
        <w:t>天；</w:t>
      </w:r>
    </w:p>
    <w:p>
      <w:pPr>
        <w:tabs>
          <w:tab w:val="left" w:pos="426"/>
          <w:tab w:val="left" w:pos="567"/>
        </w:tabs>
        <w:adjustRightInd w:val="0"/>
        <w:spacing w:line="560" w:lineRule="exact"/>
        <w:ind w:firstLine="640" w:firstLineChars="200"/>
        <w:jc w:val="left"/>
        <w:rPr>
          <w:rFonts w:eastAsia="仿宋_GB2312"/>
          <w:color w:val="000000"/>
        </w:rPr>
      </w:pPr>
      <w:r>
        <w:rPr>
          <w:rFonts w:eastAsia="仿宋_GB2312"/>
          <w:color w:val="000000"/>
          <w:sz w:val="32"/>
          <w:szCs w:val="32"/>
        </w:rPr>
        <w:t>(4)</w:t>
      </w:r>
      <w:r>
        <w:rPr>
          <w:rFonts w:hint="eastAsia" w:eastAsia="仿宋_GB2312"/>
          <w:color w:val="000000"/>
          <w:sz w:val="32"/>
          <w:szCs w:val="32"/>
        </w:rPr>
        <w:t>日气温低于</w:t>
      </w:r>
      <w:r>
        <w:rPr>
          <w:rFonts w:eastAsia="仿宋_GB2312"/>
          <w:color w:val="000000"/>
          <w:sz w:val="32"/>
          <w:szCs w:val="32"/>
        </w:rPr>
        <w:t>-5</w:t>
      </w:r>
      <w:r>
        <w:rPr>
          <w:rFonts w:hint="eastAsia" w:eastAsia="仿宋_GB2312"/>
          <w:color w:val="000000"/>
          <w:sz w:val="32"/>
          <w:szCs w:val="32"/>
        </w:rPr>
        <w:t>℃的严寒连续大于</w:t>
      </w:r>
      <w:r>
        <w:rPr>
          <w:rFonts w:eastAsia="仿宋_GB2312"/>
          <w:color w:val="000000"/>
          <w:sz w:val="32"/>
          <w:szCs w:val="32"/>
        </w:rPr>
        <w:t>5</w:t>
      </w:r>
      <w:r>
        <w:rPr>
          <w:rFonts w:hint="eastAsia" w:eastAsia="仿宋_GB2312"/>
          <w:color w:val="000000"/>
          <w:sz w:val="32"/>
          <w:szCs w:val="32"/>
        </w:rPr>
        <w:t>天；</w:t>
      </w:r>
    </w:p>
    <w:p>
      <w:pPr>
        <w:tabs>
          <w:tab w:val="left" w:pos="426"/>
          <w:tab w:val="left" w:pos="567"/>
        </w:tabs>
        <w:adjustRightInd w:val="0"/>
        <w:spacing w:line="560" w:lineRule="exact"/>
        <w:ind w:firstLine="640" w:firstLineChars="200"/>
        <w:jc w:val="left"/>
        <w:rPr>
          <w:rFonts w:eastAsia="仿宋_GB2312"/>
          <w:color w:val="000000"/>
        </w:rPr>
      </w:pPr>
      <w:r>
        <w:rPr>
          <w:rFonts w:eastAsia="仿宋_GB2312"/>
          <w:color w:val="000000"/>
          <w:sz w:val="32"/>
          <w:szCs w:val="32"/>
        </w:rPr>
        <w:t>(5)</w:t>
      </w:r>
      <w:r>
        <w:rPr>
          <w:rFonts w:hint="eastAsia" w:eastAsia="仿宋_GB2312"/>
          <w:color w:val="000000"/>
          <w:sz w:val="32"/>
          <w:szCs w:val="32"/>
        </w:rPr>
        <w:t>其它异常恶劣气候灾害。</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rPr>
        <w:t>异常恶劣的气候影响工期的，发包人只补偿工期，不补偿费用。</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lang w:val="en-US" w:eastAsia="zh-CN"/>
        </w:rPr>
        <w:t>6.</w:t>
      </w:r>
      <w:r>
        <w:rPr>
          <w:rFonts w:hint="eastAsia" w:eastAsia="仿宋_GB2312"/>
          <w:color w:val="000000"/>
          <w:sz w:val="32"/>
          <w:szCs w:val="32"/>
        </w:rPr>
        <w:t>发包人暂停施工的责任</w:t>
      </w:r>
    </w:p>
    <w:p>
      <w:pPr>
        <w:tabs>
          <w:tab w:val="left" w:pos="426"/>
          <w:tab w:val="left" w:pos="567"/>
        </w:tabs>
        <w:adjustRightInd w:val="0"/>
        <w:spacing w:line="560" w:lineRule="exact"/>
        <w:ind w:firstLine="640" w:firstLineChars="200"/>
        <w:jc w:val="left"/>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由于发包人原因引起的暂停施工造成工期延误的，发包人只补偿工期，不补偿费用。</w:t>
      </w:r>
    </w:p>
    <w:p>
      <w:pPr>
        <w:tabs>
          <w:tab w:val="left" w:pos="426"/>
          <w:tab w:val="left" w:pos="567"/>
        </w:tabs>
        <w:adjustRightInd w:val="0"/>
        <w:spacing w:line="560" w:lineRule="exact"/>
        <w:ind w:firstLine="640" w:firstLineChars="200"/>
        <w:jc w:val="left"/>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7.</w:t>
      </w:r>
      <w:r>
        <w:rPr>
          <w:rFonts w:hint="eastAsia" w:ascii="Times New Roman" w:hAnsi="Times New Roman" w:eastAsia="仿宋_GB2312" w:cs="Times New Roman"/>
          <w:color w:val="000000"/>
          <w:sz w:val="32"/>
          <w:szCs w:val="32"/>
        </w:rPr>
        <w:t>验收标准：按照甲方确认的样品作为验收标准；</w:t>
      </w:r>
    </w:p>
    <w:p>
      <w:pPr>
        <w:tabs>
          <w:tab w:val="left" w:pos="426"/>
          <w:tab w:val="left" w:pos="567"/>
        </w:tabs>
        <w:adjustRightInd w:val="0"/>
        <w:spacing w:line="560" w:lineRule="exact"/>
        <w:ind w:firstLine="640" w:firstLineChars="200"/>
        <w:jc w:val="left"/>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7.1</w:t>
      </w:r>
      <w:r>
        <w:rPr>
          <w:rFonts w:hint="eastAsia" w:ascii="Times New Roman" w:hAnsi="Times New Roman" w:eastAsia="仿宋_GB2312" w:cs="Times New Roman"/>
          <w:color w:val="000000"/>
          <w:sz w:val="32"/>
          <w:szCs w:val="32"/>
        </w:rPr>
        <w:t>验收不合格时，双方应协商一致，乙方应根据不合格清单及时更换，更换完毕后通知甲方再次验收，费用由乙方承担。</w:t>
      </w:r>
    </w:p>
    <w:p>
      <w:pPr>
        <w:tabs>
          <w:tab w:val="left" w:pos="426"/>
          <w:tab w:val="left" w:pos="567"/>
        </w:tabs>
        <w:adjustRightInd w:val="0"/>
        <w:spacing w:line="560" w:lineRule="exact"/>
        <w:ind w:firstLine="640" w:firstLineChars="200"/>
        <w:jc w:val="left"/>
        <w:rPr>
          <w:rFonts w:hint="eastAsia" w:ascii="Times New Roman" w:hAnsi="Times New Roman" w:eastAsia="仿宋_GB2312" w:cs="Times New Roman"/>
          <w:color w:val="000000"/>
          <w:sz w:val="32"/>
          <w:szCs w:val="32"/>
        </w:rPr>
      </w:pP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lang w:val="en-US" w:eastAsia="zh-CN"/>
        </w:rPr>
        <w:t>8.</w:t>
      </w:r>
      <w:r>
        <w:rPr>
          <w:rFonts w:hint="eastAsia" w:eastAsia="仿宋_GB2312"/>
          <w:color w:val="000000"/>
          <w:sz w:val="32"/>
          <w:szCs w:val="32"/>
        </w:rPr>
        <w:t>变更</w:t>
      </w:r>
    </w:p>
    <w:p>
      <w:pPr>
        <w:tabs>
          <w:tab w:val="left" w:pos="426"/>
          <w:tab w:val="left" w:pos="567"/>
        </w:tabs>
        <w:adjustRightInd w:val="0"/>
        <w:spacing w:line="560" w:lineRule="exact"/>
        <w:ind w:firstLine="640" w:firstLineChars="200"/>
        <w:jc w:val="left"/>
        <w:rPr>
          <w:rFonts w:hint="eastAsia" w:eastAsia="仿宋_GB2312"/>
          <w:color w:val="000000"/>
          <w:sz w:val="32"/>
          <w:szCs w:val="32"/>
        </w:rPr>
      </w:pPr>
      <w:r>
        <w:rPr>
          <w:rFonts w:hint="eastAsia" w:eastAsia="仿宋_GB2312"/>
          <w:color w:val="000000"/>
          <w:sz w:val="32"/>
          <w:szCs w:val="32"/>
        </w:rPr>
        <w:t>清单漏项参考类似清单项目，无类似参考项目，双方协商确定。</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lang w:val="en-US" w:eastAsia="zh-CN"/>
        </w:rPr>
        <w:t>9.</w:t>
      </w:r>
      <w:r>
        <w:rPr>
          <w:rFonts w:hint="eastAsia" w:eastAsia="仿宋_GB2312"/>
          <w:color w:val="000000"/>
          <w:sz w:val="32"/>
          <w:szCs w:val="32"/>
        </w:rPr>
        <w:t>价格调整</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rPr>
        <w:t>不调整。</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lang w:val="en-US" w:eastAsia="zh-CN"/>
        </w:rPr>
        <w:t>10</w:t>
      </w:r>
      <w:r>
        <w:rPr>
          <w:rFonts w:hint="eastAsia" w:eastAsia="仿宋_GB2312"/>
          <w:color w:val="000000"/>
          <w:sz w:val="32"/>
          <w:szCs w:val="32"/>
        </w:rPr>
        <w:t>保险</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lang w:val="en-US" w:eastAsia="zh-CN"/>
        </w:rPr>
        <w:t>10</w:t>
      </w:r>
      <w:r>
        <w:rPr>
          <w:rFonts w:eastAsia="仿宋_GB2312"/>
          <w:color w:val="000000"/>
          <w:sz w:val="32"/>
          <w:szCs w:val="32"/>
        </w:rPr>
        <w:t>.1</w:t>
      </w:r>
      <w:r>
        <w:rPr>
          <w:rFonts w:hint="eastAsia" w:eastAsia="仿宋_GB2312"/>
          <w:color w:val="000000"/>
          <w:sz w:val="32"/>
          <w:szCs w:val="32"/>
        </w:rPr>
        <w:t>工程保险</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rPr>
        <w:t>建筑安装工程一切险及第三者责任险投保人：承包人投保。</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rPr>
        <w:t>保险期限为：本合同的工程险的生效日从开工之日起算，至质量保修期结束止。</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lang w:val="en-US" w:eastAsia="zh-CN"/>
        </w:rPr>
        <w:t>11.</w:t>
      </w:r>
      <w:r>
        <w:rPr>
          <w:rFonts w:hint="eastAsia" w:eastAsia="仿宋_GB2312"/>
          <w:color w:val="000000"/>
          <w:sz w:val="32"/>
          <w:szCs w:val="32"/>
        </w:rPr>
        <w:t>其它保险</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rPr>
        <w:t>需要投保的其它内容：人员工伤事故险、人身意外伤害险按发包人、承包人各自管辖的人员投保。承包人自带的施工机械设备、施工器具、试验设备及器材、进场的材料和工程设备等保险，由承包人购买且必须符合及满足相应规范和规定要求，费用也由承包人承担，保险期限应覆盖合同有效期。</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lang w:val="en-US" w:eastAsia="zh-CN"/>
        </w:rPr>
        <w:t>12.</w:t>
      </w:r>
      <w:r>
        <w:rPr>
          <w:rFonts w:hint="eastAsia" w:eastAsia="仿宋_GB2312"/>
          <w:color w:val="000000"/>
          <w:sz w:val="32"/>
          <w:szCs w:val="32"/>
        </w:rPr>
        <w:t>发包人违约</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rPr>
        <w:t>发包人违约，可延长工期，但不支付违约金，也不补偿费用。</w:t>
      </w:r>
    </w:p>
    <w:p>
      <w:pPr>
        <w:tabs>
          <w:tab w:val="left" w:pos="426"/>
          <w:tab w:val="left" w:pos="567"/>
        </w:tabs>
        <w:adjustRightInd w:val="0"/>
        <w:spacing w:line="560" w:lineRule="exact"/>
        <w:ind w:firstLine="640" w:firstLineChars="200"/>
        <w:jc w:val="left"/>
        <w:rPr>
          <w:rFonts w:eastAsia="仿宋_GB2312"/>
          <w:color w:val="000000"/>
        </w:rPr>
      </w:pPr>
      <w:r>
        <w:rPr>
          <w:rFonts w:hint="eastAsia" w:eastAsia="仿宋_GB2312"/>
          <w:color w:val="000000"/>
          <w:sz w:val="32"/>
          <w:szCs w:val="32"/>
        </w:rPr>
        <w:t>1</w:t>
      </w:r>
      <w:r>
        <w:rPr>
          <w:rFonts w:hint="eastAsia" w:eastAsia="仿宋_GB2312"/>
          <w:color w:val="000000"/>
          <w:sz w:val="32"/>
          <w:szCs w:val="32"/>
          <w:lang w:val="en-US" w:eastAsia="zh-CN"/>
        </w:rPr>
        <w:t>3.</w:t>
      </w:r>
      <w:r>
        <w:rPr>
          <w:rFonts w:hint="eastAsia" w:eastAsia="仿宋_GB2312"/>
          <w:color w:val="000000"/>
          <w:sz w:val="32"/>
          <w:szCs w:val="32"/>
        </w:rPr>
        <w:t>争议的解决：合同当事人友好协商解决不成的向项目所在地仲裁委员会申请仲裁。</w:t>
      </w:r>
    </w:p>
    <w:p>
      <w:pPr>
        <w:tabs>
          <w:tab w:val="left" w:pos="426"/>
          <w:tab w:val="left" w:pos="567"/>
        </w:tabs>
        <w:adjustRightInd w:val="0"/>
        <w:spacing w:line="560" w:lineRule="exact"/>
        <w:ind w:firstLine="640" w:firstLineChars="200"/>
        <w:jc w:val="left"/>
        <w:rPr>
          <w:rFonts w:hint="eastAsia" w:eastAsia="仿宋_GB2312"/>
          <w:color w:val="000000"/>
          <w:sz w:val="32"/>
          <w:szCs w:val="32"/>
          <w:lang w:eastAsia="zh-CN"/>
        </w:rPr>
      </w:pPr>
      <w:r>
        <w:rPr>
          <w:rFonts w:hint="eastAsia" w:eastAsia="仿宋_GB2312"/>
          <w:color w:val="000000"/>
          <w:sz w:val="32"/>
          <w:szCs w:val="32"/>
          <w:lang w:val="en-US" w:eastAsia="zh-CN"/>
        </w:rPr>
        <w:t>14.</w:t>
      </w:r>
      <w:r>
        <w:rPr>
          <w:rFonts w:hint="eastAsia" w:eastAsia="仿宋_GB2312"/>
          <w:color w:val="000000"/>
          <w:sz w:val="32"/>
          <w:szCs w:val="32"/>
        </w:rPr>
        <w:t>其他约定：承包人应协调好周边关系，搞好安全文明施工，因承包人原因发生纠纷，后果由承包人负责</w:t>
      </w:r>
      <w:bookmarkEnd w:id="53"/>
      <w:r>
        <w:rPr>
          <w:rFonts w:hint="eastAsia" w:eastAsia="仿宋_GB2312"/>
          <w:color w:val="000000"/>
          <w:sz w:val="32"/>
          <w:szCs w:val="32"/>
          <w:lang w:eastAsia="zh-CN"/>
        </w:rPr>
        <w:t>。</w:t>
      </w:r>
    </w:p>
    <w:p>
      <w:pPr>
        <w:rPr>
          <w:rFonts w:hint="eastAsia" w:eastAsia="仿宋_GB2312"/>
          <w:color w:val="000000"/>
          <w:sz w:val="32"/>
          <w:szCs w:val="32"/>
          <w:lang w:eastAsia="zh-CN"/>
        </w:rPr>
      </w:pPr>
    </w:p>
    <w:p>
      <w:pPr>
        <w:pStyle w:val="17"/>
        <w:rPr>
          <w:rFonts w:hint="eastAsia" w:eastAsia="仿宋_GB2312"/>
          <w:color w:val="000000"/>
          <w:sz w:val="32"/>
          <w:szCs w:val="32"/>
          <w:lang w:eastAsia="zh-CN"/>
        </w:rPr>
      </w:pPr>
    </w:p>
    <w:p>
      <w:pPr>
        <w:rPr>
          <w:rFonts w:hint="eastAsia" w:eastAsia="仿宋_GB2312"/>
          <w:color w:val="000000"/>
          <w:sz w:val="32"/>
          <w:szCs w:val="32"/>
          <w:lang w:eastAsia="zh-CN"/>
        </w:rPr>
      </w:pPr>
    </w:p>
    <w:p>
      <w:pPr>
        <w:pStyle w:val="17"/>
        <w:rPr>
          <w:rFonts w:hint="eastAsia" w:eastAsia="仿宋_GB2312"/>
          <w:color w:val="000000"/>
          <w:sz w:val="32"/>
          <w:szCs w:val="32"/>
          <w:lang w:eastAsia="zh-CN"/>
        </w:rPr>
      </w:pPr>
    </w:p>
    <w:p>
      <w:pPr>
        <w:rPr>
          <w:rFonts w:hint="eastAsia" w:eastAsia="仿宋_GB2312"/>
          <w:color w:val="000000"/>
          <w:sz w:val="32"/>
          <w:szCs w:val="32"/>
          <w:lang w:eastAsia="zh-CN"/>
        </w:rPr>
      </w:pPr>
    </w:p>
    <w:p>
      <w:pPr>
        <w:pStyle w:val="17"/>
        <w:rPr>
          <w:rFonts w:hint="eastAsia" w:eastAsia="仿宋_GB2312"/>
          <w:color w:val="000000"/>
          <w:sz w:val="32"/>
          <w:szCs w:val="32"/>
          <w:lang w:eastAsia="zh-CN"/>
        </w:rPr>
      </w:pPr>
    </w:p>
    <w:p>
      <w:pPr>
        <w:rPr>
          <w:rFonts w:hint="eastAsia" w:eastAsia="仿宋_GB2312"/>
          <w:color w:val="000000"/>
          <w:sz w:val="32"/>
          <w:szCs w:val="32"/>
          <w:lang w:eastAsia="zh-CN"/>
        </w:rPr>
      </w:pPr>
    </w:p>
    <w:p>
      <w:pPr>
        <w:pStyle w:val="17"/>
        <w:rPr>
          <w:rFonts w:hint="eastAsia" w:eastAsia="仿宋_GB2312"/>
          <w:color w:val="000000"/>
          <w:sz w:val="32"/>
          <w:szCs w:val="32"/>
          <w:lang w:eastAsia="zh-CN"/>
        </w:rPr>
      </w:pPr>
    </w:p>
    <w:p>
      <w:pPr>
        <w:rPr>
          <w:rFonts w:hint="eastAsia" w:eastAsia="仿宋_GB2312"/>
          <w:color w:val="000000"/>
          <w:sz w:val="32"/>
          <w:szCs w:val="32"/>
          <w:lang w:eastAsia="zh-CN"/>
        </w:rPr>
      </w:pPr>
    </w:p>
    <w:p>
      <w:pPr>
        <w:pStyle w:val="17"/>
        <w:rPr>
          <w:rFonts w:hint="eastAsia" w:eastAsia="仿宋_GB2312"/>
          <w:color w:val="000000"/>
          <w:sz w:val="32"/>
          <w:szCs w:val="32"/>
          <w:lang w:eastAsia="zh-CN"/>
        </w:rPr>
      </w:pPr>
    </w:p>
    <w:p>
      <w:pPr>
        <w:rPr>
          <w:rFonts w:hint="eastAsia" w:eastAsia="仿宋_GB2312"/>
          <w:color w:val="000000"/>
          <w:sz w:val="32"/>
          <w:szCs w:val="32"/>
          <w:lang w:eastAsia="zh-CN"/>
        </w:rPr>
      </w:pPr>
    </w:p>
    <w:p>
      <w:pPr>
        <w:pStyle w:val="17"/>
        <w:rPr>
          <w:rFonts w:hint="eastAsia" w:eastAsia="仿宋_GB2312"/>
          <w:color w:val="000000"/>
          <w:sz w:val="32"/>
          <w:szCs w:val="32"/>
          <w:lang w:eastAsia="zh-CN"/>
        </w:rPr>
      </w:pPr>
    </w:p>
    <w:p>
      <w:pPr>
        <w:rPr>
          <w:rFonts w:hint="eastAsia" w:eastAsia="仿宋_GB2312"/>
          <w:color w:val="000000"/>
          <w:sz w:val="32"/>
          <w:szCs w:val="32"/>
          <w:lang w:eastAsia="zh-CN"/>
        </w:rPr>
      </w:pPr>
    </w:p>
    <w:p>
      <w:pPr>
        <w:pStyle w:val="17"/>
        <w:rPr>
          <w:rFonts w:hint="eastAsia" w:eastAsia="仿宋_GB2312"/>
          <w:color w:val="000000"/>
          <w:sz w:val="32"/>
          <w:szCs w:val="32"/>
          <w:lang w:eastAsia="zh-CN"/>
        </w:rPr>
      </w:pPr>
    </w:p>
    <w:p>
      <w:pPr>
        <w:rPr>
          <w:rFonts w:hint="eastAsia" w:eastAsia="仿宋_GB2312"/>
          <w:color w:val="000000"/>
          <w:sz w:val="32"/>
          <w:szCs w:val="32"/>
          <w:lang w:eastAsia="zh-CN"/>
        </w:rPr>
      </w:pPr>
    </w:p>
    <w:p>
      <w:pPr>
        <w:pStyle w:val="17"/>
        <w:rPr>
          <w:rFonts w:hint="eastAsia" w:eastAsia="仿宋_GB2312"/>
          <w:color w:val="000000"/>
          <w:sz w:val="32"/>
          <w:szCs w:val="32"/>
          <w:lang w:eastAsia="zh-CN"/>
        </w:rPr>
      </w:pPr>
    </w:p>
    <w:p>
      <w:pPr>
        <w:pStyle w:val="158"/>
        <w:ind w:firstLine="0"/>
        <w:rPr>
          <w:rFonts w:ascii="仿宋" w:hAnsi="仿宋" w:eastAsia="仿宋" w:cs="仿宋"/>
          <w:b/>
          <w:sz w:val="24"/>
        </w:rPr>
      </w:pPr>
    </w:p>
    <w:sectPr>
      <w:footerReference r:id="rId3" w:type="default"/>
      <w:pgSz w:w="11905" w:h="16838"/>
      <w:pgMar w:top="1440" w:right="1803" w:bottom="1440" w:left="1803" w:header="851" w:footer="992" w:gutter="0"/>
      <w:pgBorders>
        <w:top w:val="none" w:sz="0" w:space="0"/>
        <w:left w:val="none" w:sz="0" w:space="0"/>
        <w:bottom w:val="none" w:sz="0" w:space="0"/>
        <w:right w:val="none" w:sz="0" w:space="0"/>
      </w:pgBorders>
      <w:pgNumType w:fmt="numberInDash"/>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Eʩ">
    <w:altName w:val="Segoe Print"/>
    <w:panose1 w:val="00000000000000000000"/>
    <w:charset w:val="00"/>
    <w:family w:val="auto"/>
    <w:pitch w:val="default"/>
    <w:sig w:usb0="00000000" w:usb1="00000000" w:usb2="00000000" w:usb3="00000000" w:csb0="00000000" w:csb1="00000000"/>
  </w:font>
  <w:font w:name="Source Han Sans CN">
    <w:altName w:val="Segoe Print"/>
    <w:panose1 w:val="00000000000000000000"/>
    <w:charset w:val="00"/>
    <w:family w:val="auto"/>
    <w:pitch w:val="default"/>
    <w:sig w:usb0="00000000" w:usb1="00000000" w:usb2="00000000" w:usb3="00000000" w:csb0="00000000" w:csb1="00000000"/>
  </w:font>
  <w:font w:name="思源黑体 CN Normal">
    <w:altName w:val="黑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sz w:val="28"/>
        <w:szCs w:val="2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159"/>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oNotHyphenateCaps/>
  <w:drawingGridHorizontalSpacing w:val="210"/>
  <w:drawingGridVerticalSpacing w:val="159"/>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wMjVlYzk1NDkyNmEwMDJkNTU1MzQ1MmFlYjc5ZWMifQ=="/>
  </w:docVars>
  <w:rsids>
    <w:rsidRoot w:val="004963CF"/>
    <w:rsid w:val="000002C9"/>
    <w:rsid w:val="00001BA6"/>
    <w:rsid w:val="0000280D"/>
    <w:rsid w:val="000045B2"/>
    <w:rsid w:val="00005366"/>
    <w:rsid w:val="00005ED2"/>
    <w:rsid w:val="00006B76"/>
    <w:rsid w:val="00007C75"/>
    <w:rsid w:val="000118D6"/>
    <w:rsid w:val="00011D5F"/>
    <w:rsid w:val="000142E9"/>
    <w:rsid w:val="0001445E"/>
    <w:rsid w:val="00020A0D"/>
    <w:rsid w:val="00020ADD"/>
    <w:rsid w:val="00025453"/>
    <w:rsid w:val="000262DC"/>
    <w:rsid w:val="00026573"/>
    <w:rsid w:val="00027650"/>
    <w:rsid w:val="00032066"/>
    <w:rsid w:val="000320FB"/>
    <w:rsid w:val="0003490D"/>
    <w:rsid w:val="000350DB"/>
    <w:rsid w:val="000352C0"/>
    <w:rsid w:val="000353EC"/>
    <w:rsid w:val="00036A7C"/>
    <w:rsid w:val="000438EF"/>
    <w:rsid w:val="00043BB1"/>
    <w:rsid w:val="00043DEF"/>
    <w:rsid w:val="000445CD"/>
    <w:rsid w:val="00044D30"/>
    <w:rsid w:val="00045F05"/>
    <w:rsid w:val="00047A99"/>
    <w:rsid w:val="00047C44"/>
    <w:rsid w:val="0005216E"/>
    <w:rsid w:val="00052ECD"/>
    <w:rsid w:val="00056AF4"/>
    <w:rsid w:val="0005711D"/>
    <w:rsid w:val="00057788"/>
    <w:rsid w:val="000618F1"/>
    <w:rsid w:val="0006195B"/>
    <w:rsid w:val="00063229"/>
    <w:rsid w:val="00065A79"/>
    <w:rsid w:val="00065B86"/>
    <w:rsid w:val="0006697F"/>
    <w:rsid w:val="0007022A"/>
    <w:rsid w:val="000759DF"/>
    <w:rsid w:val="00075C45"/>
    <w:rsid w:val="00076B9A"/>
    <w:rsid w:val="000771C9"/>
    <w:rsid w:val="000805C3"/>
    <w:rsid w:val="00080D90"/>
    <w:rsid w:val="00080EF8"/>
    <w:rsid w:val="00084B9B"/>
    <w:rsid w:val="00085618"/>
    <w:rsid w:val="00085C54"/>
    <w:rsid w:val="00086114"/>
    <w:rsid w:val="00090C38"/>
    <w:rsid w:val="00090C4E"/>
    <w:rsid w:val="00093573"/>
    <w:rsid w:val="000944CC"/>
    <w:rsid w:val="000944EF"/>
    <w:rsid w:val="000951CE"/>
    <w:rsid w:val="00097269"/>
    <w:rsid w:val="00097C46"/>
    <w:rsid w:val="000A08BB"/>
    <w:rsid w:val="000A12BE"/>
    <w:rsid w:val="000A4C23"/>
    <w:rsid w:val="000B079C"/>
    <w:rsid w:val="000B3B5D"/>
    <w:rsid w:val="000B3C8C"/>
    <w:rsid w:val="000B6A3F"/>
    <w:rsid w:val="000B718E"/>
    <w:rsid w:val="000B73A7"/>
    <w:rsid w:val="000B7A9E"/>
    <w:rsid w:val="000B7D6B"/>
    <w:rsid w:val="000C10A0"/>
    <w:rsid w:val="000C166E"/>
    <w:rsid w:val="000C1FF6"/>
    <w:rsid w:val="000C339F"/>
    <w:rsid w:val="000C4C4B"/>
    <w:rsid w:val="000C65F1"/>
    <w:rsid w:val="000C6E82"/>
    <w:rsid w:val="000C7291"/>
    <w:rsid w:val="000C7397"/>
    <w:rsid w:val="000D0B1C"/>
    <w:rsid w:val="000D3DE4"/>
    <w:rsid w:val="000D4792"/>
    <w:rsid w:val="000D5227"/>
    <w:rsid w:val="000E170E"/>
    <w:rsid w:val="000E1C7E"/>
    <w:rsid w:val="000E6E78"/>
    <w:rsid w:val="000E7ED3"/>
    <w:rsid w:val="000F5193"/>
    <w:rsid w:val="000F6146"/>
    <w:rsid w:val="000F6963"/>
    <w:rsid w:val="0010372F"/>
    <w:rsid w:val="00103EF3"/>
    <w:rsid w:val="00104100"/>
    <w:rsid w:val="0010456F"/>
    <w:rsid w:val="00110935"/>
    <w:rsid w:val="00114F40"/>
    <w:rsid w:val="0011501C"/>
    <w:rsid w:val="00117428"/>
    <w:rsid w:val="001205C1"/>
    <w:rsid w:val="00122204"/>
    <w:rsid w:val="00122ABF"/>
    <w:rsid w:val="00123C23"/>
    <w:rsid w:val="001258F3"/>
    <w:rsid w:val="00125BDF"/>
    <w:rsid w:val="00125C11"/>
    <w:rsid w:val="00134E24"/>
    <w:rsid w:val="00135774"/>
    <w:rsid w:val="001360CC"/>
    <w:rsid w:val="0013636F"/>
    <w:rsid w:val="0013646E"/>
    <w:rsid w:val="00136E45"/>
    <w:rsid w:val="00137AD4"/>
    <w:rsid w:val="00137DBE"/>
    <w:rsid w:val="001430BB"/>
    <w:rsid w:val="00143782"/>
    <w:rsid w:val="0014617C"/>
    <w:rsid w:val="001461D2"/>
    <w:rsid w:val="00146917"/>
    <w:rsid w:val="001471E1"/>
    <w:rsid w:val="001514E9"/>
    <w:rsid w:val="00154637"/>
    <w:rsid w:val="00155709"/>
    <w:rsid w:val="001564B8"/>
    <w:rsid w:val="00161605"/>
    <w:rsid w:val="001619E0"/>
    <w:rsid w:val="00163A7A"/>
    <w:rsid w:val="00163CFF"/>
    <w:rsid w:val="00163DCD"/>
    <w:rsid w:val="00164D5B"/>
    <w:rsid w:val="001673A2"/>
    <w:rsid w:val="001674F6"/>
    <w:rsid w:val="00167967"/>
    <w:rsid w:val="00170D1A"/>
    <w:rsid w:val="00171519"/>
    <w:rsid w:val="00175CB7"/>
    <w:rsid w:val="00177496"/>
    <w:rsid w:val="00177983"/>
    <w:rsid w:val="00177CC7"/>
    <w:rsid w:val="00180C7B"/>
    <w:rsid w:val="0018155B"/>
    <w:rsid w:val="001830FA"/>
    <w:rsid w:val="0018628A"/>
    <w:rsid w:val="00186F46"/>
    <w:rsid w:val="001870EF"/>
    <w:rsid w:val="001903C6"/>
    <w:rsid w:val="001908E4"/>
    <w:rsid w:val="0019108A"/>
    <w:rsid w:val="001917C3"/>
    <w:rsid w:val="001921F2"/>
    <w:rsid w:val="001952D1"/>
    <w:rsid w:val="00195CCF"/>
    <w:rsid w:val="00197003"/>
    <w:rsid w:val="00197F6D"/>
    <w:rsid w:val="001A3E74"/>
    <w:rsid w:val="001A4537"/>
    <w:rsid w:val="001A5C81"/>
    <w:rsid w:val="001A60FF"/>
    <w:rsid w:val="001A644E"/>
    <w:rsid w:val="001B0DDC"/>
    <w:rsid w:val="001B21E6"/>
    <w:rsid w:val="001B3A88"/>
    <w:rsid w:val="001B3CF4"/>
    <w:rsid w:val="001B5643"/>
    <w:rsid w:val="001B6FD7"/>
    <w:rsid w:val="001C00B8"/>
    <w:rsid w:val="001C25E2"/>
    <w:rsid w:val="001C585F"/>
    <w:rsid w:val="001C5CD0"/>
    <w:rsid w:val="001C765F"/>
    <w:rsid w:val="001C7906"/>
    <w:rsid w:val="001C7AFA"/>
    <w:rsid w:val="001D1EC9"/>
    <w:rsid w:val="001D21A7"/>
    <w:rsid w:val="001D3D83"/>
    <w:rsid w:val="001D494E"/>
    <w:rsid w:val="001D4AFE"/>
    <w:rsid w:val="001D6B0D"/>
    <w:rsid w:val="001D7434"/>
    <w:rsid w:val="001D7D77"/>
    <w:rsid w:val="001E10B6"/>
    <w:rsid w:val="001E3951"/>
    <w:rsid w:val="001E4F12"/>
    <w:rsid w:val="001E78D3"/>
    <w:rsid w:val="001F0A7E"/>
    <w:rsid w:val="001F0C43"/>
    <w:rsid w:val="001F4A11"/>
    <w:rsid w:val="001F4B4F"/>
    <w:rsid w:val="001F50A2"/>
    <w:rsid w:val="001F5C93"/>
    <w:rsid w:val="002006F5"/>
    <w:rsid w:val="002009C2"/>
    <w:rsid w:val="00201B60"/>
    <w:rsid w:val="002043D9"/>
    <w:rsid w:val="002045CB"/>
    <w:rsid w:val="00205DD0"/>
    <w:rsid w:val="00206470"/>
    <w:rsid w:val="002123CA"/>
    <w:rsid w:val="002128A0"/>
    <w:rsid w:val="00215A5B"/>
    <w:rsid w:val="002214AB"/>
    <w:rsid w:val="002308E0"/>
    <w:rsid w:val="00231731"/>
    <w:rsid w:val="002319FD"/>
    <w:rsid w:val="00232525"/>
    <w:rsid w:val="002341E5"/>
    <w:rsid w:val="00234840"/>
    <w:rsid w:val="002354BF"/>
    <w:rsid w:val="00236ADB"/>
    <w:rsid w:val="00236F2E"/>
    <w:rsid w:val="00240ACF"/>
    <w:rsid w:val="00241DD7"/>
    <w:rsid w:val="00241FB1"/>
    <w:rsid w:val="00243EFE"/>
    <w:rsid w:val="00245735"/>
    <w:rsid w:val="0024608C"/>
    <w:rsid w:val="002501A9"/>
    <w:rsid w:val="00251126"/>
    <w:rsid w:val="0025237B"/>
    <w:rsid w:val="00254D85"/>
    <w:rsid w:val="00255520"/>
    <w:rsid w:val="0025607A"/>
    <w:rsid w:val="002635E1"/>
    <w:rsid w:val="00263E4A"/>
    <w:rsid w:val="00266A70"/>
    <w:rsid w:val="002671EC"/>
    <w:rsid w:val="0026792F"/>
    <w:rsid w:val="00270166"/>
    <w:rsid w:val="0027420B"/>
    <w:rsid w:val="0027469A"/>
    <w:rsid w:val="00277FC7"/>
    <w:rsid w:val="00281F04"/>
    <w:rsid w:val="002879B4"/>
    <w:rsid w:val="00287FEF"/>
    <w:rsid w:val="00292EB2"/>
    <w:rsid w:val="00293195"/>
    <w:rsid w:val="00294D41"/>
    <w:rsid w:val="002951C3"/>
    <w:rsid w:val="00297E22"/>
    <w:rsid w:val="002A1CE0"/>
    <w:rsid w:val="002A1E25"/>
    <w:rsid w:val="002A20DF"/>
    <w:rsid w:val="002A70BB"/>
    <w:rsid w:val="002B4916"/>
    <w:rsid w:val="002B5DA8"/>
    <w:rsid w:val="002B78F0"/>
    <w:rsid w:val="002C138B"/>
    <w:rsid w:val="002C2FC5"/>
    <w:rsid w:val="002C4B42"/>
    <w:rsid w:val="002C4E6D"/>
    <w:rsid w:val="002C593F"/>
    <w:rsid w:val="002C5C0C"/>
    <w:rsid w:val="002C6271"/>
    <w:rsid w:val="002C675C"/>
    <w:rsid w:val="002C7030"/>
    <w:rsid w:val="002D1422"/>
    <w:rsid w:val="002D2264"/>
    <w:rsid w:val="002D47EB"/>
    <w:rsid w:val="002D4948"/>
    <w:rsid w:val="002D60CA"/>
    <w:rsid w:val="002E08D9"/>
    <w:rsid w:val="002E47D1"/>
    <w:rsid w:val="002E7B61"/>
    <w:rsid w:val="002F4072"/>
    <w:rsid w:val="002F5610"/>
    <w:rsid w:val="002F59B1"/>
    <w:rsid w:val="002F7B50"/>
    <w:rsid w:val="0030072D"/>
    <w:rsid w:val="00303F64"/>
    <w:rsid w:val="00304BB6"/>
    <w:rsid w:val="00304F79"/>
    <w:rsid w:val="003106B2"/>
    <w:rsid w:val="00311633"/>
    <w:rsid w:val="00311C55"/>
    <w:rsid w:val="0031394A"/>
    <w:rsid w:val="00313A80"/>
    <w:rsid w:val="003153A8"/>
    <w:rsid w:val="00315D8B"/>
    <w:rsid w:val="003178CB"/>
    <w:rsid w:val="00317B78"/>
    <w:rsid w:val="00317D06"/>
    <w:rsid w:val="003225BA"/>
    <w:rsid w:val="0032672E"/>
    <w:rsid w:val="00327C0C"/>
    <w:rsid w:val="00327DBD"/>
    <w:rsid w:val="003303C0"/>
    <w:rsid w:val="0033168C"/>
    <w:rsid w:val="00332C92"/>
    <w:rsid w:val="00333FDD"/>
    <w:rsid w:val="00334212"/>
    <w:rsid w:val="00334DFC"/>
    <w:rsid w:val="003361D1"/>
    <w:rsid w:val="0033631C"/>
    <w:rsid w:val="0033766F"/>
    <w:rsid w:val="0034034E"/>
    <w:rsid w:val="003417F8"/>
    <w:rsid w:val="00342009"/>
    <w:rsid w:val="003426D7"/>
    <w:rsid w:val="00344A9F"/>
    <w:rsid w:val="0034546C"/>
    <w:rsid w:val="003454D7"/>
    <w:rsid w:val="0034663D"/>
    <w:rsid w:val="003466DB"/>
    <w:rsid w:val="003469FF"/>
    <w:rsid w:val="00346BEF"/>
    <w:rsid w:val="00346C0D"/>
    <w:rsid w:val="00346C9C"/>
    <w:rsid w:val="00355F0C"/>
    <w:rsid w:val="003562B1"/>
    <w:rsid w:val="003579D0"/>
    <w:rsid w:val="00360133"/>
    <w:rsid w:val="00361AB0"/>
    <w:rsid w:val="00364CD9"/>
    <w:rsid w:val="00365A72"/>
    <w:rsid w:val="00366093"/>
    <w:rsid w:val="0037038E"/>
    <w:rsid w:val="00372D82"/>
    <w:rsid w:val="00374B12"/>
    <w:rsid w:val="0037562C"/>
    <w:rsid w:val="00375AFF"/>
    <w:rsid w:val="003803E0"/>
    <w:rsid w:val="00381A6A"/>
    <w:rsid w:val="00383128"/>
    <w:rsid w:val="0038424D"/>
    <w:rsid w:val="0038506C"/>
    <w:rsid w:val="00391056"/>
    <w:rsid w:val="00391C6E"/>
    <w:rsid w:val="003946BC"/>
    <w:rsid w:val="00394768"/>
    <w:rsid w:val="003964FD"/>
    <w:rsid w:val="003A1458"/>
    <w:rsid w:val="003A18BC"/>
    <w:rsid w:val="003A2B58"/>
    <w:rsid w:val="003A3EBE"/>
    <w:rsid w:val="003A3ED5"/>
    <w:rsid w:val="003A63F4"/>
    <w:rsid w:val="003A6752"/>
    <w:rsid w:val="003A6ED3"/>
    <w:rsid w:val="003A7EF4"/>
    <w:rsid w:val="003B2363"/>
    <w:rsid w:val="003B2462"/>
    <w:rsid w:val="003B4EFE"/>
    <w:rsid w:val="003B5A53"/>
    <w:rsid w:val="003B6A54"/>
    <w:rsid w:val="003B7C15"/>
    <w:rsid w:val="003C0005"/>
    <w:rsid w:val="003C0916"/>
    <w:rsid w:val="003C179C"/>
    <w:rsid w:val="003C3544"/>
    <w:rsid w:val="003C46EC"/>
    <w:rsid w:val="003C4E7E"/>
    <w:rsid w:val="003D067B"/>
    <w:rsid w:val="003D07F1"/>
    <w:rsid w:val="003D111B"/>
    <w:rsid w:val="003D1341"/>
    <w:rsid w:val="003D18C4"/>
    <w:rsid w:val="003D224D"/>
    <w:rsid w:val="003D378F"/>
    <w:rsid w:val="003D5440"/>
    <w:rsid w:val="003D6413"/>
    <w:rsid w:val="003D698E"/>
    <w:rsid w:val="003D6A42"/>
    <w:rsid w:val="003E25E3"/>
    <w:rsid w:val="003F3B66"/>
    <w:rsid w:val="003F6E87"/>
    <w:rsid w:val="003F71D0"/>
    <w:rsid w:val="003F7D73"/>
    <w:rsid w:val="0040095C"/>
    <w:rsid w:val="00400ADA"/>
    <w:rsid w:val="00400F8B"/>
    <w:rsid w:val="004014E2"/>
    <w:rsid w:val="00401858"/>
    <w:rsid w:val="00402669"/>
    <w:rsid w:val="00402CD6"/>
    <w:rsid w:val="00403C05"/>
    <w:rsid w:val="00404536"/>
    <w:rsid w:val="00404A9C"/>
    <w:rsid w:val="00405D80"/>
    <w:rsid w:val="004061B6"/>
    <w:rsid w:val="00410A8D"/>
    <w:rsid w:val="00414634"/>
    <w:rsid w:val="00417AD7"/>
    <w:rsid w:val="004213B7"/>
    <w:rsid w:val="00423461"/>
    <w:rsid w:val="00425BFC"/>
    <w:rsid w:val="00426A9B"/>
    <w:rsid w:val="0042738C"/>
    <w:rsid w:val="00427F2B"/>
    <w:rsid w:val="00430C54"/>
    <w:rsid w:val="004323B1"/>
    <w:rsid w:val="00432917"/>
    <w:rsid w:val="00434105"/>
    <w:rsid w:val="00434700"/>
    <w:rsid w:val="004348E7"/>
    <w:rsid w:val="00435F12"/>
    <w:rsid w:val="004363C4"/>
    <w:rsid w:val="00437B16"/>
    <w:rsid w:val="00437E7E"/>
    <w:rsid w:val="00437F74"/>
    <w:rsid w:val="00442AA5"/>
    <w:rsid w:val="00442FCA"/>
    <w:rsid w:val="00443672"/>
    <w:rsid w:val="004456BC"/>
    <w:rsid w:val="004467A5"/>
    <w:rsid w:val="004467BC"/>
    <w:rsid w:val="00446D90"/>
    <w:rsid w:val="00454CC8"/>
    <w:rsid w:val="00456B96"/>
    <w:rsid w:val="00464AAC"/>
    <w:rsid w:val="00465791"/>
    <w:rsid w:val="00471382"/>
    <w:rsid w:val="00471CDE"/>
    <w:rsid w:val="00472E4C"/>
    <w:rsid w:val="004738F5"/>
    <w:rsid w:val="00474760"/>
    <w:rsid w:val="00474A4C"/>
    <w:rsid w:val="00475CA4"/>
    <w:rsid w:val="004761FA"/>
    <w:rsid w:val="004777C5"/>
    <w:rsid w:val="0047791E"/>
    <w:rsid w:val="00480376"/>
    <w:rsid w:val="004803C2"/>
    <w:rsid w:val="00481777"/>
    <w:rsid w:val="00481AF0"/>
    <w:rsid w:val="004824AC"/>
    <w:rsid w:val="00482521"/>
    <w:rsid w:val="00482650"/>
    <w:rsid w:val="00482974"/>
    <w:rsid w:val="00482F3A"/>
    <w:rsid w:val="00485ABB"/>
    <w:rsid w:val="0048681D"/>
    <w:rsid w:val="00486B78"/>
    <w:rsid w:val="00487AC1"/>
    <w:rsid w:val="0049059C"/>
    <w:rsid w:val="00490C59"/>
    <w:rsid w:val="00491ECD"/>
    <w:rsid w:val="00492D02"/>
    <w:rsid w:val="00493269"/>
    <w:rsid w:val="004948F7"/>
    <w:rsid w:val="004951B2"/>
    <w:rsid w:val="00495EAC"/>
    <w:rsid w:val="004963CF"/>
    <w:rsid w:val="00496D41"/>
    <w:rsid w:val="004A02C0"/>
    <w:rsid w:val="004A0763"/>
    <w:rsid w:val="004A14C7"/>
    <w:rsid w:val="004A1EFE"/>
    <w:rsid w:val="004A2209"/>
    <w:rsid w:val="004A2E20"/>
    <w:rsid w:val="004A6A55"/>
    <w:rsid w:val="004A6CFC"/>
    <w:rsid w:val="004B0B86"/>
    <w:rsid w:val="004B1667"/>
    <w:rsid w:val="004B2429"/>
    <w:rsid w:val="004B30A8"/>
    <w:rsid w:val="004B477A"/>
    <w:rsid w:val="004C121E"/>
    <w:rsid w:val="004C1809"/>
    <w:rsid w:val="004C25EE"/>
    <w:rsid w:val="004C267B"/>
    <w:rsid w:val="004C31F7"/>
    <w:rsid w:val="004C3EF8"/>
    <w:rsid w:val="004C41D4"/>
    <w:rsid w:val="004C5693"/>
    <w:rsid w:val="004C572D"/>
    <w:rsid w:val="004C626C"/>
    <w:rsid w:val="004C67A5"/>
    <w:rsid w:val="004D027A"/>
    <w:rsid w:val="004D21AB"/>
    <w:rsid w:val="004D3BD4"/>
    <w:rsid w:val="004D3E29"/>
    <w:rsid w:val="004D6377"/>
    <w:rsid w:val="004D785A"/>
    <w:rsid w:val="004D7A52"/>
    <w:rsid w:val="004E03AD"/>
    <w:rsid w:val="004E12DB"/>
    <w:rsid w:val="004E1559"/>
    <w:rsid w:val="004E2ED0"/>
    <w:rsid w:val="004E3F87"/>
    <w:rsid w:val="004E4275"/>
    <w:rsid w:val="004E4EBD"/>
    <w:rsid w:val="004E502D"/>
    <w:rsid w:val="004F012B"/>
    <w:rsid w:val="004F04C5"/>
    <w:rsid w:val="004F28B3"/>
    <w:rsid w:val="004F2C27"/>
    <w:rsid w:val="004F2D9F"/>
    <w:rsid w:val="004F7EC8"/>
    <w:rsid w:val="00500ADA"/>
    <w:rsid w:val="005011F1"/>
    <w:rsid w:val="0050422D"/>
    <w:rsid w:val="005045AA"/>
    <w:rsid w:val="0050632B"/>
    <w:rsid w:val="00506B36"/>
    <w:rsid w:val="00511247"/>
    <w:rsid w:val="0051476C"/>
    <w:rsid w:val="005170A5"/>
    <w:rsid w:val="00520145"/>
    <w:rsid w:val="005224ED"/>
    <w:rsid w:val="00522F23"/>
    <w:rsid w:val="005230D3"/>
    <w:rsid w:val="00523BB1"/>
    <w:rsid w:val="00525235"/>
    <w:rsid w:val="005257E2"/>
    <w:rsid w:val="00525ABD"/>
    <w:rsid w:val="00526333"/>
    <w:rsid w:val="00526EC5"/>
    <w:rsid w:val="00527A5D"/>
    <w:rsid w:val="00527CEF"/>
    <w:rsid w:val="00530AC8"/>
    <w:rsid w:val="00535242"/>
    <w:rsid w:val="00535B4B"/>
    <w:rsid w:val="00541304"/>
    <w:rsid w:val="00541E0D"/>
    <w:rsid w:val="00542BDD"/>
    <w:rsid w:val="00543B42"/>
    <w:rsid w:val="00545AC0"/>
    <w:rsid w:val="00547C3B"/>
    <w:rsid w:val="00550B53"/>
    <w:rsid w:val="00550D84"/>
    <w:rsid w:val="00550F27"/>
    <w:rsid w:val="0055230B"/>
    <w:rsid w:val="00566338"/>
    <w:rsid w:val="00567B83"/>
    <w:rsid w:val="00570A02"/>
    <w:rsid w:val="00573ED4"/>
    <w:rsid w:val="005741A3"/>
    <w:rsid w:val="00575979"/>
    <w:rsid w:val="00575D04"/>
    <w:rsid w:val="005766C7"/>
    <w:rsid w:val="00577E28"/>
    <w:rsid w:val="0058229D"/>
    <w:rsid w:val="005830B0"/>
    <w:rsid w:val="00584823"/>
    <w:rsid w:val="00584E64"/>
    <w:rsid w:val="0058612A"/>
    <w:rsid w:val="005901DD"/>
    <w:rsid w:val="00591103"/>
    <w:rsid w:val="0059321F"/>
    <w:rsid w:val="00596438"/>
    <w:rsid w:val="00597604"/>
    <w:rsid w:val="00597A44"/>
    <w:rsid w:val="005A1C32"/>
    <w:rsid w:val="005A211F"/>
    <w:rsid w:val="005A2E43"/>
    <w:rsid w:val="005B0083"/>
    <w:rsid w:val="005B0238"/>
    <w:rsid w:val="005B0BF1"/>
    <w:rsid w:val="005B1151"/>
    <w:rsid w:val="005B1814"/>
    <w:rsid w:val="005B21E3"/>
    <w:rsid w:val="005B7553"/>
    <w:rsid w:val="005B75E3"/>
    <w:rsid w:val="005C0EBF"/>
    <w:rsid w:val="005C6DC1"/>
    <w:rsid w:val="005C7991"/>
    <w:rsid w:val="005C7994"/>
    <w:rsid w:val="005D0CC2"/>
    <w:rsid w:val="005D0E49"/>
    <w:rsid w:val="005D16BA"/>
    <w:rsid w:val="005D326A"/>
    <w:rsid w:val="005D5133"/>
    <w:rsid w:val="005D5A58"/>
    <w:rsid w:val="005D6829"/>
    <w:rsid w:val="005D74D1"/>
    <w:rsid w:val="005E1006"/>
    <w:rsid w:val="005E178A"/>
    <w:rsid w:val="005E3748"/>
    <w:rsid w:val="005E3FE6"/>
    <w:rsid w:val="005E58C3"/>
    <w:rsid w:val="005E72A5"/>
    <w:rsid w:val="005F072A"/>
    <w:rsid w:val="005F082D"/>
    <w:rsid w:val="005F0A6B"/>
    <w:rsid w:val="005F37DA"/>
    <w:rsid w:val="005F5360"/>
    <w:rsid w:val="005F6C91"/>
    <w:rsid w:val="005F6EE1"/>
    <w:rsid w:val="005F709A"/>
    <w:rsid w:val="00600009"/>
    <w:rsid w:val="00600562"/>
    <w:rsid w:val="006054B4"/>
    <w:rsid w:val="00610785"/>
    <w:rsid w:val="00611C56"/>
    <w:rsid w:val="0061264B"/>
    <w:rsid w:val="0061340F"/>
    <w:rsid w:val="006153BA"/>
    <w:rsid w:val="00616DD2"/>
    <w:rsid w:val="006172A2"/>
    <w:rsid w:val="00617F62"/>
    <w:rsid w:val="00620F31"/>
    <w:rsid w:val="006210B4"/>
    <w:rsid w:val="00621765"/>
    <w:rsid w:val="00622975"/>
    <w:rsid w:val="0062363E"/>
    <w:rsid w:val="006240F5"/>
    <w:rsid w:val="00626F0F"/>
    <w:rsid w:val="00630364"/>
    <w:rsid w:val="0063150C"/>
    <w:rsid w:val="0063163D"/>
    <w:rsid w:val="00631927"/>
    <w:rsid w:val="00631994"/>
    <w:rsid w:val="006319C9"/>
    <w:rsid w:val="00635642"/>
    <w:rsid w:val="00635B24"/>
    <w:rsid w:val="00635E44"/>
    <w:rsid w:val="006367F8"/>
    <w:rsid w:val="00641535"/>
    <w:rsid w:val="006419A1"/>
    <w:rsid w:val="0064259D"/>
    <w:rsid w:val="00644966"/>
    <w:rsid w:val="00645411"/>
    <w:rsid w:val="00646734"/>
    <w:rsid w:val="00647B85"/>
    <w:rsid w:val="00653449"/>
    <w:rsid w:val="006547D5"/>
    <w:rsid w:val="00654A6A"/>
    <w:rsid w:val="0066294C"/>
    <w:rsid w:val="00663B53"/>
    <w:rsid w:val="006662C3"/>
    <w:rsid w:val="006662D9"/>
    <w:rsid w:val="00666814"/>
    <w:rsid w:val="00666DF3"/>
    <w:rsid w:val="006728B1"/>
    <w:rsid w:val="0067569A"/>
    <w:rsid w:val="00675FC0"/>
    <w:rsid w:val="00681B80"/>
    <w:rsid w:val="00684FDE"/>
    <w:rsid w:val="00685B07"/>
    <w:rsid w:val="006879C6"/>
    <w:rsid w:val="006908CB"/>
    <w:rsid w:val="00692BB8"/>
    <w:rsid w:val="00694B8F"/>
    <w:rsid w:val="00695FFE"/>
    <w:rsid w:val="006972E5"/>
    <w:rsid w:val="00697650"/>
    <w:rsid w:val="006A1494"/>
    <w:rsid w:val="006A1D9C"/>
    <w:rsid w:val="006A6924"/>
    <w:rsid w:val="006A697C"/>
    <w:rsid w:val="006A6BD0"/>
    <w:rsid w:val="006A6F9A"/>
    <w:rsid w:val="006A7684"/>
    <w:rsid w:val="006B1DEA"/>
    <w:rsid w:val="006B4996"/>
    <w:rsid w:val="006B565C"/>
    <w:rsid w:val="006B697F"/>
    <w:rsid w:val="006B74C2"/>
    <w:rsid w:val="006C091C"/>
    <w:rsid w:val="006C1DE7"/>
    <w:rsid w:val="006C28E3"/>
    <w:rsid w:val="006C2925"/>
    <w:rsid w:val="006C4848"/>
    <w:rsid w:val="006C4E28"/>
    <w:rsid w:val="006C5032"/>
    <w:rsid w:val="006C6D59"/>
    <w:rsid w:val="006D2031"/>
    <w:rsid w:val="006D45FF"/>
    <w:rsid w:val="006D4FB4"/>
    <w:rsid w:val="006D58EF"/>
    <w:rsid w:val="006D7D20"/>
    <w:rsid w:val="006E2F57"/>
    <w:rsid w:val="006E3152"/>
    <w:rsid w:val="006E3F97"/>
    <w:rsid w:val="006E40BE"/>
    <w:rsid w:val="006F1D74"/>
    <w:rsid w:val="006F25AD"/>
    <w:rsid w:val="006F2F68"/>
    <w:rsid w:val="006F3CBC"/>
    <w:rsid w:val="006F5240"/>
    <w:rsid w:val="006F6A85"/>
    <w:rsid w:val="006F7CB3"/>
    <w:rsid w:val="0070006D"/>
    <w:rsid w:val="00700ADB"/>
    <w:rsid w:val="007024C5"/>
    <w:rsid w:val="00704ACE"/>
    <w:rsid w:val="00705EFB"/>
    <w:rsid w:val="00706FD2"/>
    <w:rsid w:val="00707171"/>
    <w:rsid w:val="00707B57"/>
    <w:rsid w:val="00707CC8"/>
    <w:rsid w:val="00710B43"/>
    <w:rsid w:val="00712414"/>
    <w:rsid w:val="007127D1"/>
    <w:rsid w:val="00712C9C"/>
    <w:rsid w:val="0071483A"/>
    <w:rsid w:val="007179EC"/>
    <w:rsid w:val="00720397"/>
    <w:rsid w:val="007213C7"/>
    <w:rsid w:val="00721509"/>
    <w:rsid w:val="00727C02"/>
    <w:rsid w:val="00731D8B"/>
    <w:rsid w:val="00732BF6"/>
    <w:rsid w:val="0073305A"/>
    <w:rsid w:val="00733C18"/>
    <w:rsid w:val="00735E22"/>
    <w:rsid w:val="007365B6"/>
    <w:rsid w:val="00736664"/>
    <w:rsid w:val="00736BD5"/>
    <w:rsid w:val="0074213A"/>
    <w:rsid w:val="00743808"/>
    <w:rsid w:val="0074425B"/>
    <w:rsid w:val="00744571"/>
    <w:rsid w:val="00746CBE"/>
    <w:rsid w:val="007473CE"/>
    <w:rsid w:val="00750071"/>
    <w:rsid w:val="0075300D"/>
    <w:rsid w:val="007547FD"/>
    <w:rsid w:val="00754988"/>
    <w:rsid w:val="00754996"/>
    <w:rsid w:val="00754F74"/>
    <w:rsid w:val="00755173"/>
    <w:rsid w:val="007555E6"/>
    <w:rsid w:val="00755910"/>
    <w:rsid w:val="0075591A"/>
    <w:rsid w:val="00755D75"/>
    <w:rsid w:val="0075776A"/>
    <w:rsid w:val="00760B0E"/>
    <w:rsid w:val="007626B3"/>
    <w:rsid w:val="0076313E"/>
    <w:rsid w:val="00764985"/>
    <w:rsid w:val="00767158"/>
    <w:rsid w:val="00770501"/>
    <w:rsid w:val="007708D0"/>
    <w:rsid w:val="00771A68"/>
    <w:rsid w:val="00774F0B"/>
    <w:rsid w:val="00780942"/>
    <w:rsid w:val="007819CC"/>
    <w:rsid w:val="00781A16"/>
    <w:rsid w:val="00787623"/>
    <w:rsid w:val="00787836"/>
    <w:rsid w:val="00791FB7"/>
    <w:rsid w:val="00792255"/>
    <w:rsid w:val="00792C89"/>
    <w:rsid w:val="00797F2B"/>
    <w:rsid w:val="007A3BA9"/>
    <w:rsid w:val="007A7CC8"/>
    <w:rsid w:val="007B105F"/>
    <w:rsid w:val="007B2D1C"/>
    <w:rsid w:val="007B3F84"/>
    <w:rsid w:val="007B600E"/>
    <w:rsid w:val="007B63C3"/>
    <w:rsid w:val="007B7199"/>
    <w:rsid w:val="007C12F0"/>
    <w:rsid w:val="007C4898"/>
    <w:rsid w:val="007C7282"/>
    <w:rsid w:val="007D24F1"/>
    <w:rsid w:val="007D27E3"/>
    <w:rsid w:val="007D2E33"/>
    <w:rsid w:val="007D449D"/>
    <w:rsid w:val="007D5E44"/>
    <w:rsid w:val="007D606E"/>
    <w:rsid w:val="007D64CD"/>
    <w:rsid w:val="007E051E"/>
    <w:rsid w:val="007E1F7D"/>
    <w:rsid w:val="007E4753"/>
    <w:rsid w:val="007E4A49"/>
    <w:rsid w:val="007E4C5F"/>
    <w:rsid w:val="007E5DBE"/>
    <w:rsid w:val="007E72BD"/>
    <w:rsid w:val="007E7C4E"/>
    <w:rsid w:val="007F1480"/>
    <w:rsid w:val="007F2519"/>
    <w:rsid w:val="007F303D"/>
    <w:rsid w:val="007F7D23"/>
    <w:rsid w:val="00801CE6"/>
    <w:rsid w:val="00801DAA"/>
    <w:rsid w:val="008025CC"/>
    <w:rsid w:val="00802AE5"/>
    <w:rsid w:val="00810E2C"/>
    <w:rsid w:val="00811B2B"/>
    <w:rsid w:val="0081218F"/>
    <w:rsid w:val="0081447C"/>
    <w:rsid w:val="00817B72"/>
    <w:rsid w:val="00821456"/>
    <w:rsid w:val="0082186F"/>
    <w:rsid w:val="00822B4F"/>
    <w:rsid w:val="00823241"/>
    <w:rsid w:val="00825FAC"/>
    <w:rsid w:val="008300F6"/>
    <w:rsid w:val="008307DA"/>
    <w:rsid w:val="00833196"/>
    <w:rsid w:val="00834A00"/>
    <w:rsid w:val="00834B80"/>
    <w:rsid w:val="00834E93"/>
    <w:rsid w:val="00835FAA"/>
    <w:rsid w:val="008364B3"/>
    <w:rsid w:val="0084669E"/>
    <w:rsid w:val="008468BF"/>
    <w:rsid w:val="008473C6"/>
    <w:rsid w:val="0085332F"/>
    <w:rsid w:val="008534FD"/>
    <w:rsid w:val="00857D2B"/>
    <w:rsid w:val="008602DA"/>
    <w:rsid w:val="00861A09"/>
    <w:rsid w:val="00861B87"/>
    <w:rsid w:val="00861CCA"/>
    <w:rsid w:val="00862A03"/>
    <w:rsid w:val="00862B91"/>
    <w:rsid w:val="00867DBC"/>
    <w:rsid w:val="00867DBF"/>
    <w:rsid w:val="00871711"/>
    <w:rsid w:val="00872DAB"/>
    <w:rsid w:val="00872FAE"/>
    <w:rsid w:val="00873F7B"/>
    <w:rsid w:val="00874490"/>
    <w:rsid w:val="00876212"/>
    <w:rsid w:val="008767CF"/>
    <w:rsid w:val="00880FBC"/>
    <w:rsid w:val="00883451"/>
    <w:rsid w:val="00883718"/>
    <w:rsid w:val="0088456C"/>
    <w:rsid w:val="00887496"/>
    <w:rsid w:val="00890B3C"/>
    <w:rsid w:val="00891D4F"/>
    <w:rsid w:val="00892F38"/>
    <w:rsid w:val="00893370"/>
    <w:rsid w:val="008934AB"/>
    <w:rsid w:val="008A02D8"/>
    <w:rsid w:val="008A09DA"/>
    <w:rsid w:val="008A1654"/>
    <w:rsid w:val="008A572D"/>
    <w:rsid w:val="008A6AAE"/>
    <w:rsid w:val="008B17DE"/>
    <w:rsid w:val="008B235F"/>
    <w:rsid w:val="008B33EE"/>
    <w:rsid w:val="008B45FF"/>
    <w:rsid w:val="008B4D5C"/>
    <w:rsid w:val="008B53A7"/>
    <w:rsid w:val="008B6027"/>
    <w:rsid w:val="008C0F07"/>
    <w:rsid w:val="008C1C7C"/>
    <w:rsid w:val="008C2D28"/>
    <w:rsid w:val="008C35B7"/>
    <w:rsid w:val="008C3EC4"/>
    <w:rsid w:val="008C50FB"/>
    <w:rsid w:val="008D0544"/>
    <w:rsid w:val="008D20D2"/>
    <w:rsid w:val="008D30E0"/>
    <w:rsid w:val="008D66A4"/>
    <w:rsid w:val="008D6DE8"/>
    <w:rsid w:val="008E1560"/>
    <w:rsid w:val="008E4F81"/>
    <w:rsid w:val="008E5B79"/>
    <w:rsid w:val="008E76F9"/>
    <w:rsid w:val="008E7B06"/>
    <w:rsid w:val="008F3394"/>
    <w:rsid w:val="008F3C56"/>
    <w:rsid w:val="008F3EAE"/>
    <w:rsid w:val="008F4A34"/>
    <w:rsid w:val="009024CB"/>
    <w:rsid w:val="00902A91"/>
    <w:rsid w:val="00903C2D"/>
    <w:rsid w:val="00905BDE"/>
    <w:rsid w:val="00906F56"/>
    <w:rsid w:val="0091013D"/>
    <w:rsid w:val="009104E4"/>
    <w:rsid w:val="00910DBE"/>
    <w:rsid w:val="00913CF5"/>
    <w:rsid w:val="0091656F"/>
    <w:rsid w:val="00916ABC"/>
    <w:rsid w:val="00917665"/>
    <w:rsid w:val="009203F9"/>
    <w:rsid w:val="00921887"/>
    <w:rsid w:val="00921CA4"/>
    <w:rsid w:val="00923C69"/>
    <w:rsid w:val="0092677C"/>
    <w:rsid w:val="00927194"/>
    <w:rsid w:val="00931770"/>
    <w:rsid w:val="00932363"/>
    <w:rsid w:val="0094011F"/>
    <w:rsid w:val="009401D9"/>
    <w:rsid w:val="00942784"/>
    <w:rsid w:val="00943C4E"/>
    <w:rsid w:val="00943E92"/>
    <w:rsid w:val="00943FC8"/>
    <w:rsid w:val="009440C9"/>
    <w:rsid w:val="009453FA"/>
    <w:rsid w:val="00946A45"/>
    <w:rsid w:val="009474C6"/>
    <w:rsid w:val="009474E7"/>
    <w:rsid w:val="00947E30"/>
    <w:rsid w:val="00951048"/>
    <w:rsid w:val="00951825"/>
    <w:rsid w:val="00956184"/>
    <w:rsid w:val="00956A88"/>
    <w:rsid w:val="00957376"/>
    <w:rsid w:val="009576C4"/>
    <w:rsid w:val="009603F0"/>
    <w:rsid w:val="009640F6"/>
    <w:rsid w:val="00965C41"/>
    <w:rsid w:val="00966584"/>
    <w:rsid w:val="00966CFD"/>
    <w:rsid w:val="009705E8"/>
    <w:rsid w:val="00971C36"/>
    <w:rsid w:val="009738A3"/>
    <w:rsid w:val="00975EA1"/>
    <w:rsid w:val="0097642A"/>
    <w:rsid w:val="00976D3F"/>
    <w:rsid w:val="00977185"/>
    <w:rsid w:val="00977A7F"/>
    <w:rsid w:val="0098092B"/>
    <w:rsid w:val="00981E9D"/>
    <w:rsid w:val="00982169"/>
    <w:rsid w:val="00982F22"/>
    <w:rsid w:val="009837B6"/>
    <w:rsid w:val="00983C8D"/>
    <w:rsid w:val="00987329"/>
    <w:rsid w:val="009902C2"/>
    <w:rsid w:val="00993C92"/>
    <w:rsid w:val="00995C35"/>
    <w:rsid w:val="009A4C77"/>
    <w:rsid w:val="009A525E"/>
    <w:rsid w:val="009B187A"/>
    <w:rsid w:val="009B2C44"/>
    <w:rsid w:val="009B6D34"/>
    <w:rsid w:val="009B73D0"/>
    <w:rsid w:val="009C2043"/>
    <w:rsid w:val="009C3725"/>
    <w:rsid w:val="009C3A75"/>
    <w:rsid w:val="009C3AB8"/>
    <w:rsid w:val="009C4562"/>
    <w:rsid w:val="009C4F72"/>
    <w:rsid w:val="009C5991"/>
    <w:rsid w:val="009C5AA8"/>
    <w:rsid w:val="009C5C44"/>
    <w:rsid w:val="009D000D"/>
    <w:rsid w:val="009D18F6"/>
    <w:rsid w:val="009D494D"/>
    <w:rsid w:val="009D6160"/>
    <w:rsid w:val="009D7704"/>
    <w:rsid w:val="009D7ABD"/>
    <w:rsid w:val="009E0BDB"/>
    <w:rsid w:val="009E136E"/>
    <w:rsid w:val="009E28E0"/>
    <w:rsid w:val="009E2CCC"/>
    <w:rsid w:val="009E2E93"/>
    <w:rsid w:val="009E5CCC"/>
    <w:rsid w:val="009F18E5"/>
    <w:rsid w:val="009F1ADB"/>
    <w:rsid w:val="009F75FC"/>
    <w:rsid w:val="00A002FC"/>
    <w:rsid w:val="00A025A1"/>
    <w:rsid w:val="00A03E61"/>
    <w:rsid w:val="00A05154"/>
    <w:rsid w:val="00A12C0D"/>
    <w:rsid w:val="00A1528A"/>
    <w:rsid w:val="00A15330"/>
    <w:rsid w:val="00A15481"/>
    <w:rsid w:val="00A17B37"/>
    <w:rsid w:val="00A2276B"/>
    <w:rsid w:val="00A22FAF"/>
    <w:rsid w:val="00A23670"/>
    <w:rsid w:val="00A25F5D"/>
    <w:rsid w:val="00A2775B"/>
    <w:rsid w:val="00A309A7"/>
    <w:rsid w:val="00A40144"/>
    <w:rsid w:val="00A41D59"/>
    <w:rsid w:val="00A43059"/>
    <w:rsid w:val="00A4627B"/>
    <w:rsid w:val="00A47A6E"/>
    <w:rsid w:val="00A5027D"/>
    <w:rsid w:val="00A50495"/>
    <w:rsid w:val="00A51FC4"/>
    <w:rsid w:val="00A52B39"/>
    <w:rsid w:val="00A53D5A"/>
    <w:rsid w:val="00A546DC"/>
    <w:rsid w:val="00A55E23"/>
    <w:rsid w:val="00A571C4"/>
    <w:rsid w:val="00A574CF"/>
    <w:rsid w:val="00A5786D"/>
    <w:rsid w:val="00A60D54"/>
    <w:rsid w:val="00A630D2"/>
    <w:rsid w:val="00A63127"/>
    <w:rsid w:val="00A65878"/>
    <w:rsid w:val="00A66F38"/>
    <w:rsid w:val="00A7043C"/>
    <w:rsid w:val="00A70485"/>
    <w:rsid w:val="00A73908"/>
    <w:rsid w:val="00A76D01"/>
    <w:rsid w:val="00A772EB"/>
    <w:rsid w:val="00A77547"/>
    <w:rsid w:val="00A77660"/>
    <w:rsid w:val="00A80686"/>
    <w:rsid w:val="00A83F77"/>
    <w:rsid w:val="00A84003"/>
    <w:rsid w:val="00A857D2"/>
    <w:rsid w:val="00A86CCD"/>
    <w:rsid w:val="00A903D2"/>
    <w:rsid w:val="00A90654"/>
    <w:rsid w:val="00A962F5"/>
    <w:rsid w:val="00A9695B"/>
    <w:rsid w:val="00AA14C2"/>
    <w:rsid w:val="00AA55DC"/>
    <w:rsid w:val="00AB0590"/>
    <w:rsid w:val="00AB182D"/>
    <w:rsid w:val="00AB2538"/>
    <w:rsid w:val="00AB6A10"/>
    <w:rsid w:val="00AC11A4"/>
    <w:rsid w:val="00AC180A"/>
    <w:rsid w:val="00AC34BE"/>
    <w:rsid w:val="00AC4D8D"/>
    <w:rsid w:val="00AC524B"/>
    <w:rsid w:val="00AC6041"/>
    <w:rsid w:val="00AC61F4"/>
    <w:rsid w:val="00AC6A28"/>
    <w:rsid w:val="00AC6EF4"/>
    <w:rsid w:val="00AC700D"/>
    <w:rsid w:val="00AD0794"/>
    <w:rsid w:val="00AD2DAA"/>
    <w:rsid w:val="00AD3A82"/>
    <w:rsid w:val="00AD4502"/>
    <w:rsid w:val="00AD4C8E"/>
    <w:rsid w:val="00AD5082"/>
    <w:rsid w:val="00AD69FD"/>
    <w:rsid w:val="00AE06DA"/>
    <w:rsid w:val="00AE1D42"/>
    <w:rsid w:val="00AE1E2C"/>
    <w:rsid w:val="00AE2ECB"/>
    <w:rsid w:val="00AE3590"/>
    <w:rsid w:val="00AE3A68"/>
    <w:rsid w:val="00AE415B"/>
    <w:rsid w:val="00AE5FEB"/>
    <w:rsid w:val="00AF0008"/>
    <w:rsid w:val="00AF0981"/>
    <w:rsid w:val="00AF58B0"/>
    <w:rsid w:val="00AF5921"/>
    <w:rsid w:val="00AF62D3"/>
    <w:rsid w:val="00B004A7"/>
    <w:rsid w:val="00B00614"/>
    <w:rsid w:val="00B00BF5"/>
    <w:rsid w:val="00B01D5A"/>
    <w:rsid w:val="00B01F64"/>
    <w:rsid w:val="00B033A9"/>
    <w:rsid w:val="00B051BF"/>
    <w:rsid w:val="00B0665F"/>
    <w:rsid w:val="00B076D5"/>
    <w:rsid w:val="00B07D19"/>
    <w:rsid w:val="00B1082B"/>
    <w:rsid w:val="00B12650"/>
    <w:rsid w:val="00B12D97"/>
    <w:rsid w:val="00B135E0"/>
    <w:rsid w:val="00B15B19"/>
    <w:rsid w:val="00B17A9F"/>
    <w:rsid w:val="00B231E5"/>
    <w:rsid w:val="00B24FEC"/>
    <w:rsid w:val="00B254CC"/>
    <w:rsid w:val="00B2578C"/>
    <w:rsid w:val="00B25B01"/>
    <w:rsid w:val="00B25C05"/>
    <w:rsid w:val="00B2689D"/>
    <w:rsid w:val="00B30284"/>
    <w:rsid w:val="00B318C1"/>
    <w:rsid w:val="00B327FB"/>
    <w:rsid w:val="00B331B6"/>
    <w:rsid w:val="00B4387F"/>
    <w:rsid w:val="00B43B12"/>
    <w:rsid w:val="00B43CFC"/>
    <w:rsid w:val="00B43DC7"/>
    <w:rsid w:val="00B4723E"/>
    <w:rsid w:val="00B50D61"/>
    <w:rsid w:val="00B55298"/>
    <w:rsid w:val="00B55F8F"/>
    <w:rsid w:val="00B56D29"/>
    <w:rsid w:val="00B6621A"/>
    <w:rsid w:val="00B667B7"/>
    <w:rsid w:val="00B71050"/>
    <w:rsid w:val="00B71B54"/>
    <w:rsid w:val="00B71E21"/>
    <w:rsid w:val="00B73BDF"/>
    <w:rsid w:val="00B73FAA"/>
    <w:rsid w:val="00B75582"/>
    <w:rsid w:val="00B7702A"/>
    <w:rsid w:val="00B803EC"/>
    <w:rsid w:val="00B81AF0"/>
    <w:rsid w:val="00B82BE7"/>
    <w:rsid w:val="00B8325B"/>
    <w:rsid w:val="00B832CC"/>
    <w:rsid w:val="00B86024"/>
    <w:rsid w:val="00B86570"/>
    <w:rsid w:val="00B865C7"/>
    <w:rsid w:val="00B8697A"/>
    <w:rsid w:val="00B91E16"/>
    <w:rsid w:val="00B92B3B"/>
    <w:rsid w:val="00B9376C"/>
    <w:rsid w:val="00B96371"/>
    <w:rsid w:val="00BA441B"/>
    <w:rsid w:val="00BA5AEA"/>
    <w:rsid w:val="00BA61C8"/>
    <w:rsid w:val="00BA6A00"/>
    <w:rsid w:val="00BA7368"/>
    <w:rsid w:val="00BA7774"/>
    <w:rsid w:val="00BA7B49"/>
    <w:rsid w:val="00BB14AA"/>
    <w:rsid w:val="00BB16A4"/>
    <w:rsid w:val="00BB4054"/>
    <w:rsid w:val="00BB405C"/>
    <w:rsid w:val="00BB46B5"/>
    <w:rsid w:val="00BB7CDA"/>
    <w:rsid w:val="00BB7DD0"/>
    <w:rsid w:val="00BC24E5"/>
    <w:rsid w:val="00BC3250"/>
    <w:rsid w:val="00BC489C"/>
    <w:rsid w:val="00BC5035"/>
    <w:rsid w:val="00BC611C"/>
    <w:rsid w:val="00BC7333"/>
    <w:rsid w:val="00BC7955"/>
    <w:rsid w:val="00BD096D"/>
    <w:rsid w:val="00BD385F"/>
    <w:rsid w:val="00BD4009"/>
    <w:rsid w:val="00BD7641"/>
    <w:rsid w:val="00BE09E0"/>
    <w:rsid w:val="00BE6519"/>
    <w:rsid w:val="00BE70C8"/>
    <w:rsid w:val="00BE7693"/>
    <w:rsid w:val="00BF0491"/>
    <w:rsid w:val="00BF1657"/>
    <w:rsid w:val="00BF3168"/>
    <w:rsid w:val="00BF36D1"/>
    <w:rsid w:val="00BF762C"/>
    <w:rsid w:val="00BF7963"/>
    <w:rsid w:val="00C0298C"/>
    <w:rsid w:val="00C044C0"/>
    <w:rsid w:val="00C06A67"/>
    <w:rsid w:val="00C07A57"/>
    <w:rsid w:val="00C10A88"/>
    <w:rsid w:val="00C138CA"/>
    <w:rsid w:val="00C15543"/>
    <w:rsid w:val="00C15785"/>
    <w:rsid w:val="00C16C57"/>
    <w:rsid w:val="00C1754E"/>
    <w:rsid w:val="00C17E14"/>
    <w:rsid w:val="00C20F31"/>
    <w:rsid w:val="00C25A91"/>
    <w:rsid w:val="00C25E70"/>
    <w:rsid w:val="00C30144"/>
    <w:rsid w:val="00C30867"/>
    <w:rsid w:val="00C33A40"/>
    <w:rsid w:val="00C33B6B"/>
    <w:rsid w:val="00C35CAE"/>
    <w:rsid w:val="00C368A3"/>
    <w:rsid w:val="00C3723C"/>
    <w:rsid w:val="00C4080F"/>
    <w:rsid w:val="00C50B1F"/>
    <w:rsid w:val="00C50BFC"/>
    <w:rsid w:val="00C51592"/>
    <w:rsid w:val="00C51F92"/>
    <w:rsid w:val="00C52358"/>
    <w:rsid w:val="00C525B8"/>
    <w:rsid w:val="00C534CB"/>
    <w:rsid w:val="00C53947"/>
    <w:rsid w:val="00C557AF"/>
    <w:rsid w:val="00C56461"/>
    <w:rsid w:val="00C57C5E"/>
    <w:rsid w:val="00C60132"/>
    <w:rsid w:val="00C628C1"/>
    <w:rsid w:val="00C629A7"/>
    <w:rsid w:val="00C62A58"/>
    <w:rsid w:val="00C633BA"/>
    <w:rsid w:val="00C6362A"/>
    <w:rsid w:val="00C6526C"/>
    <w:rsid w:val="00C658D1"/>
    <w:rsid w:val="00C6599F"/>
    <w:rsid w:val="00C6640E"/>
    <w:rsid w:val="00C67346"/>
    <w:rsid w:val="00C7578A"/>
    <w:rsid w:val="00C76600"/>
    <w:rsid w:val="00C80EF3"/>
    <w:rsid w:val="00C812A6"/>
    <w:rsid w:val="00C835FF"/>
    <w:rsid w:val="00C83728"/>
    <w:rsid w:val="00C85AC4"/>
    <w:rsid w:val="00C873A5"/>
    <w:rsid w:val="00C87AC4"/>
    <w:rsid w:val="00C92CD3"/>
    <w:rsid w:val="00C9313D"/>
    <w:rsid w:val="00CA13F9"/>
    <w:rsid w:val="00CA3CC2"/>
    <w:rsid w:val="00CA6FF2"/>
    <w:rsid w:val="00CB10E1"/>
    <w:rsid w:val="00CB2246"/>
    <w:rsid w:val="00CB4FF8"/>
    <w:rsid w:val="00CB549B"/>
    <w:rsid w:val="00CC0153"/>
    <w:rsid w:val="00CC0833"/>
    <w:rsid w:val="00CC1C97"/>
    <w:rsid w:val="00CC251A"/>
    <w:rsid w:val="00CC2F37"/>
    <w:rsid w:val="00CD0722"/>
    <w:rsid w:val="00CD2799"/>
    <w:rsid w:val="00CD3A30"/>
    <w:rsid w:val="00CD431D"/>
    <w:rsid w:val="00CD43B4"/>
    <w:rsid w:val="00CD5805"/>
    <w:rsid w:val="00CD613A"/>
    <w:rsid w:val="00CD6A22"/>
    <w:rsid w:val="00CD7023"/>
    <w:rsid w:val="00CD7B02"/>
    <w:rsid w:val="00CE33EC"/>
    <w:rsid w:val="00CE4D89"/>
    <w:rsid w:val="00CE750A"/>
    <w:rsid w:val="00CF0685"/>
    <w:rsid w:val="00CF1405"/>
    <w:rsid w:val="00CF74CB"/>
    <w:rsid w:val="00D02EE6"/>
    <w:rsid w:val="00D04054"/>
    <w:rsid w:val="00D043E5"/>
    <w:rsid w:val="00D050F6"/>
    <w:rsid w:val="00D05CEA"/>
    <w:rsid w:val="00D06754"/>
    <w:rsid w:val="00D07170"/>
    <w:rsid w:val="00D075BD"/>
    <w:rsid w:val="00D078ED"/>
    <w:rsid w:val="00D11350"/>
    <w:rsid w:val="00D13D61"/>
    <w:rsid w:val="00D14CCE"/>
    <w:rsid w:val="00D23343"/>
    <w:rsid w:val="00D24495"/>
    <w:rsid w:val="00D24B29"/>
    <w:rsid w:val="00D25ABA"/>
    <w:rsid w:val="00D262EA"/>
    <w:rsid w:val="00D26901"/>
    <w:rsid w:val="00D27EE3"/>
    <w:rsid w:val="00D35DBE"/>
    <w:rsid w:val="00D37552"/>
    <w:rsid w:val="00D40D9B"/>
    <w:rsid w:val="00D41F1B"/>
    <w:rsid w:val="00D43929"/>
    <w:rsid w:val="00D45C92"/>
    <w:rsid w:val="00D46931"/>
    <w:rsid w:val="00D46D54"/>
    <w:rsid w:val="00D51A0D"/>
    <w:rsid w:val="00D52443"/>
    <w:rsid w:val="00D527F5"/>
    <w:rsid w:val="00D53C31"/>
    <w:rsid w:val="00D54C51"/>
    <w:rsid w:val="00D55C2A"/>
    <w:rsid w:val="00D57607"/>
    <w:rsid w:val="00D611D0"/>
    <w:rsid w:val="00D6236E"/>
    <w:rsid w:val="00D631F3"/>
    <w:rsid w:val="00D63DBE"/>
    <w:rsid w:val="00D64C14"/>
    <w:rsid w:val="00D6617F"/>
    <w:rsid w:val="00D672C7"/>
    <w:rsid w:val="00D708B6"/>
    <w:rsid w:val="00D75594"/>
    <w:rsid w:val="00D764FC"/>
    <w:rsid w:val="00D7689F"/>
    <w:rsid w:val="00D77F36"/>
    <w:rsid w:val="00D80714"/>
    <w:rsid w:val="00D80B1F"/>
    <w:rsid w:val="00D861D9"/>
    <w:rsid w:val="00D86EB3"/>
    <w:rsid w:val="00D8707B"/>
    <w:rsid w:val="00D90211"/>
    <w:rsid w:val="00D921D3"/>
    <w:rsid w:val="00D93E99"/>
    <w:rsid w:val="00D95626"/>
    <w:rsid w:val="00D9612B"/>
    <w:rsid w:val="00D96D8E"/>
    <w:rsid w:val="00D97CEA"/>
    <w:rsid w:val="00DA035A"/>
    <w:rsid w:val="00DA1B5B"/>
    <w:rsid w:val="00DA1D3D"/>
    <w:rsid w:val="00DA5BF9"/>
    <w:rsid w:val="00DA5CF4"/>
    <w:rsid w:val="00DA7936"/>
    <w:rsid w:val="00DB29CF"/>
    <w:rsid w:val="00DB2B46"/>
    <w:rsid w:val="00DB61B3"/>
    <w:rsid w:val="00DB645E"/>
    <w:rsid w:val="00DB65B5"/>
    <w:rsid w:val="00DC471A"/>
    <w:rsid w:val="00DC5D97"/>
    <w:rsid w:val="00DC6ACC"/>
    <w:rsid w:val="00DC7825"/>
    <w:rsid w:val="00DD0E98"/>
    <w:rsid w:val="00DD1BF1"/>
    <w:rsid w:val="00DD1D69"/>
    <w:rsid w:val="00DD3B81"/>
    <w:rsid w:val="00DD5ABD"/>
    <w:rsid w:val="00DE1257"/>
    <w:rsid w:val="00DE2047"/>
    <w:rsid w:val="00DE226B"/>
    <w:rsid w:val="00DE5202"/>
    <w:rsid w:val="00DE624E"/>
    <w:rsid w:val="00DE6917"/>
    <w:rsid w:val="00DE748D"/>
    <w:rsid w:val="00DF045C"/>
    <w:rsid w:val="00DF37D5"/>
    <w:rsid w:val="00DF5879"/>
    <w:rsid w:val="00DF7115"/>
    <w:rsid w:val="00DF73ED"/>
    <w:rsid w:val="00E00A3C"/>
    <w:rsid w:val="00E01456"/>
    <w:rsid w:val="00E039CA"/>
    <w:rsid w:val="00E04B62"/>
    <w:rsid w:val="00E05FC8"/>
    <w:rsid w:val="00E06AF3"/>
    <w:rsid w:val="00E10726"/>
    <w:rsid w:val="00E12820"/>
    <w:rsid w:val="00E13E96"/>
    <w:rsid w:val="00E16195"/>
    <w:rsid w:val="00E17605"/>
    <w:rsid w:val="00E202E8"/>
    <w:rsid w:val="00E21ECE"/>
    <w:rsid w:val="00E22F67"/>
    <w:rsid w:val="00E25C3A"/>
    <w:rsid w:val="00E279B4"/>
    <w:rsid w:val="00E301C7"/>
    <w:rsid w:val="00E31CED"/>
    <w:rsid w:val="00E32969"/>
    <w:rsid w:val="00E346A3"/>
    <w:rsid w:val="00E346AD"/>
    <w:rsid w:val="00E3497A"/>
    <w:rsid w:val="00E34A87"/>
    <w:rsid w:val="00E34BE5"/>
    <w:rsid w:val="00E36393"/>
    <w:rsid w:val="00E36461"/>
    <w:rsid w:val="00E427F1"/>
    <w:rsid w:val="00E44EF9"/>
    <w:rsid w:val="00E45B0D"/>
    <w:rsid w:val="00E51901"/>
    <w:rsid w:val="00E522F2"/>
    <w:rsid w:val="00E52560"/>
    <w:rsid w:val="00E54AD1"/>
    <w:rsid w:val="00E550A3"/>
    <w:rsid w:val="00E55F03"/>
    <w:rsid w:val="00E56645"/>
    <w:rsid w:val="00E60426"/>
    <w:rsid w:val="00E618F6"/>
    <w:rsid w:val="00E61A3B"/>
    <w:rsid w:val="00E64518"/>
    <w:rsid w:val="00E656CD"/>
    <w:rsid w:val="00E65BD5"/>
    <w:rsid w:val="00E65F92"/>
    <w:rsid w:val="00E70206"/>
    <w:rsid w:val="00E70B8B"/>
    <w:rsid w:val="00E71EBF"/>
    <w:rsid w:val="00E73BBB"/>
    <w:rsid w:val="00E73F61"/>
    <w:rsid w:val="00E74B72"/>
    <w:rsid w:val="00E7522D"/>
    <w:rsid w:val="00E80B65"/>
    <w:rsid w:val="00E8220C"/>
    <w:rsid w:val="00E82461"/>
    <w:rsid w:val="00E83C9F"/>
    <w:rsid w:val="00E858E2"/>
    <w:rsid w:val="00E87419"/>
    <w:rsid w:val="00E91244"/>
    <w:rsid w:val="00E92E8E"/>
    <w:rsid w:val="00E94C79"/>
    <w:rsid w:val="00E95E36"/>
    <w:rsid w:val="00E9697B"/>
    <w:rsid w:val="00EA0479"/>
    <w:rsid w:val="00EA2C26"/>
    <w:rsid w:val="00EA61FD"/>
    <w:rsid w:val="00EB274C"/>
    <w:rsid w:val="00EB5E98"/>
    <w:rsid w:val="00EC0EEF"/>
    <w:rsid w:val="00EC3156"/>
    <w:rsid w:val="00EC47F0"/>
    <w:rsid w:val="00EC4F9A"/>
    <w:rsid w:val="00EC6D2A"/>
    <w:rsid w:val="00ED03BC"/>
    <w:rsid w:val="00ED2A39"/>
    <w:rsid w:val="00ED3329"/>
    <w:rsid w:val="00ED4598"/>
    <w:rsid w:val="00ED4622"/>
    <w:rsid w:val="00ED46CD"/>
    <w:rsid w:val="00ED5F29"/>
    <w:rsid w:val="00ED6409"/>
    <w:rsid w:val="00ED6829"/>
    <w:rsid w:val="00ED691A"/>
    <w:rsid w:val="00ED7B71"/>
    <w:rsid w:val="00EE0913"/>
    <w:rsid w:val="00EE0E5A"/>
    <w:rsid w:val="00EE22F0"/>
    <w:rsid w:val="00EE355B"/>
    <w:rsid w:val="00EE3CC2"/>
    <w:rsid w:val="00EE5E27"/>
    <w:rsid w:val="00EE658B"/>
    <w:rsid w:val="00EF1834"/>
    <w:rsid w:val="00EF3703"/>
    <w:rsid w:val="00EF7B88"/>
    <w:rsid w:val="00F04713"/>
    <w:rsid w:val="00F076FA"/>
    <w:rsid w:val="00F07925"/>
    <w:rsid w:val="00F104BE"/>
    <w:rsid w:val="00F114EC"/>
    <w:rsid w:val="00F1337C"/>
    <w:rsid w:val="00F159B0"/>
    <w:rsid w:val="00F17BB4"/>
    <w:rsid w:val="00F17C28"/>
    <w:rsid w:val="00F20460"/>
    <w:rsid w:val="00F204C3"/>
    <w:rsid w:val="00F22017"/>
    <w:rsid w:val="00F251EF"/>
    <w:rsid w:val="00F30B62"/>
    <w:rsid w:val="00F31E7D"/>
    <w:rsid w:val="00F33309"/>
    <w:rsid w:val="00F33FA4"/>
    <w:rsid w:val="00F34ABE"/>
    <w:rsid w:val="00F3559C"/>
    <w:rsid w:val="00F36317"/>
    <w:rsid w:val="00F4065F"/>
    <w:rsid w:val="00F42626"/>
    <w:rsid w:val="00F44F82"/>
    <w:rsid w:val="00F46233"/>
    <w:rsid w:val="00F50973"/>
    <w:rsid w:val="00F51D90"/>
    <w:rsid w:val="00F527C4"/>
    <w:rsid w:val="00F54065"/>
    <w:rsid w:val="00F55394"/>
    <w:rsid w:val="00F56E1B"/>
    <w:rsid w:val="00F5773B"/>
    <w:rsid w:val="00F600E9"/>
    <w:rsid w:val="00F60319"/>
    <w:rsid w:val="00F60CAD"/>
    <w:rsid w:val="00F62199"/>
    <w:rsid w:val="00F674BC"/>
    <w:rsid w:val="00F700F8"/>
    <w:rsid w:val="00F719AF"/>
    <w:rsid w:val="00F76EAF"/>
    <w:rsid w:val="00F81DFB"/>
    <w:rsid w:val="00F825AA"/>
    <w:rsid w:val="00F82EFE"/>
    <w:rsid w:val="00F8320B"/>
    <w:rsid w:val="00F952CD"/>
    <w:rsid w:val="00F95655"/>
    <w:rsid w:val="00F966CF"/>
    <w:rsid w:val="00FA2A60"/>
    <w:rsid w:val="00FA2AE4"/>
    <w:rsid w:val="00FA5AF9"/>
    <w:rsid w:val="00FA60AD"/>
    <w:rsid w:val="00FA6601"/>
    <w:rsid w:val="00FB18CB"/>
    <w:rsid w:val="00FB2577"/>
    <w:rsid w:val="00FB2B5D"/>
    <w:rsid w:val="00FB2B6F"/>
    <w:rsid w:val="00FB3FA4"/>
    <w:rsid w:val="00FB6723"/>
    <w:rsid w:val="00FB734A"/>
    <w:rsid w:val="00FB7783"/>
    <w:rsid w:val="00FC16CA"/>
    <w:rsid w:val="00FC3550"/>
    <w:rsid w:val="00FC5915"/>
    <w:rsid w:val="00FC661C"/>
    <w:rsid w:val="00FC68AE"/>
    <w:rsid w:val="00FC6C2D"/>
    <w:rsid w:val="00FC77E8"/>
    <w:rsid w:val="00FC7B11"/>
    <w:rsid w:val="00FD1E00"/>
    <w:rsid w:val="00FD1F36"/>
    <w:rsid w:val="00FD3170"/>
    <w:rsid w:val="00FD3702"/>
    <w:rsid w:val="00FD3ADD"/>
    <w:rsid w:val="00FD3CF3"/>
    <w:rsid w:val="00FD663E"/>
    <w:rsid w:val="00FD702B"/>
    <w:rsid w:val="00FD7694"/>
    <w:rsid w:val="00FD77FB"/>
    <w:rsid w:val="00FE0FB5"/>
    <w:rsid w:val="00FE114D"/>
    <w:rsid w:val="00FE1E07"/>
    <w:rsid w:val="00FE2306"/>
    <w:rsid w:val="00FE525E"/>
    <w:rsid w:val="00FF09C8"/>
    <w:rsid w:val="00FF0AD7"/>
    <w:rsid w:val="00FF310E"/>
    <w:rsid w:val="00FF3BBB"/>
    <w:rsid w:val="00FF46B5"/>
    <w:rsid w:val="00FF732B"/>
    <w:rsid w:val="00FF7C1B"/>
    <w:rsid w:val="01041998"/>
    <w:rsid w:val="01893CF9"/>
    <w:rsid w:val="02327C98"/>
    <w:rsid w:val="029642C5"/>
    <w:rsid w:val="02C071CB"/>
    <w:rsid w:val="02E93236"/>
    <w:rsid w:val="03263E26"/>
    <w:rsid w:val="032816D6"/>
    <w:rsid w:val="03F34AA0"/>
    <w:rsid w:val="04051127"/>
    <w:rsid w:val="0446664B"/>
    <w:rsid w:val="0488627D"/>
    <w:rsid w:val="04CA7F55"/>
    <w:rsid w:val="05015D85"/>
    <w:rsid w:val="050E4435"/>
    <w:rsid w:val="054D0A93"/>
    <w:rsid w:val="06E304BC"/>
    <w:rsid w:val="077244A5"/>
    <w:rsid w:val="07A262E6"/>
    <w:rsid w:val="08F00E5F"/>
    <w:rsid w:val="095837D1"/>
    <w:rsid w:val="0A8C531F"/>
    <w:rsid w:val="0BA64883"/>
    <w:rsid w:val="0C06083B"/>
    <w:rsid w:val="0C252C1F"/>
    <w:rsid w:val="0C3B1F34"/>
    <w:rsid w:val="0C6A75EB"/>
    <w:rsid w:val="0E4E4508"/>
    <w:rsid w:val="0E6059EA"/>
    <w:rsid w:val="0ED01E8C"/>
    <w:rsid w:val="0F4D1EC1"/>
    <w:rsid w:val="0F7A21A6"/>
    <w:rsid w:val="0FF71CF8"/>
    <w:rsid w:val="10310816"/>
    <w:rsid w:val="121D3BF2"/>
    <w:rsid w:val="14975526"/>
    <w:rsid w:val="14A07D67"/>
    <w:rsid w:val="14B539E9"/>
    <w:rsid w:val="14F67D06"/>
    <w:rsid w:val="16AD06A8"/>
    <w:rsid w:val="16CA2652"/>
    <w:rsid w:val="171716CF"/>
    <w:rsid w:val="17A17636"/>
    <w:rsid w:val="186662F2"/>
    <w:rsid w:val="18A706B9"/>
    <w:rsid w:val="18C66D91"/>
    <w:rsid w:val="18E25ED7"/>
    <w:rsid w:val="191166C5"/>
    <w:rsid w:val="19A430E9"/>
    <w:rsid w:val="1A1F0699"/>
    <w:rsid w:val="1A4A6220"/>
    <w:rsid w:val="1A6235EF"/>
    <w:rsid w:val="1AF26533"/>
    <w:rsid w:val="1B5D52D0"/>
    <w:rsid w:val="1BC05B5E"/>
    <w:rsid w:val="1C210876"/>
    <w:rsid w:val="1C3B693C"/>
    <w:rsid w:val="1D4C7CFE"/>
    <w:rsid w:val="1E771F90"/>
    <w:rsid w:val="1E7A2B9A"/>
    <w:rsid w:val="1EA27958"/>
    <w:rsid w:val="1EAA5956"/>
    <w:rsid w:val="1EDA1173"/>
    <w:rsid w:val="1F7807AF"/>
    <w:rsid w:val="1FFE1AA9"/>
    <w:rsid w:val="200D2D56"/>
    <w:rsid w:val="2067299D"/>
    <w:rsid w:val="21153713"/>
    <w:rsid w:val="21B74748"/>
    <w:rsid w:val="22286C0E"/>
    <w:rsid w:val="22461303"/>
    <w:rsid w:val="22500303"/>
    <w:rsid w:val="227120BF"/>
    <w:rsid w:val="228A0C5E"/>
    <w:rsid w:val="22E6152A"/>
    <w:rsid w:val="22F96DEE"/>
    <w:rsid w:val="23E5206A"/>
    <w:rsid w:val="240E3C49"/>
    <w:rsid w:val="2447701A"/>
    <w:rsid w:val="24C31B72"/>
    <w:rsid w:val="25DE2DD2"/>
    <w:rsid w:val="269F348C"/>
    <w:rsid w:val="27714A92"/>
    <w:rsid w:val="2790554C"/>
    <w:rsid w:val="27A71EED"/>
    <w:rsid w:val="281E34C9"/>
    <w:rsid w:val="284101E2"/>
    <w:rsid w:val="28470C9B"/>
    <w:rsid w:val="28EE3406"/>
    <w:rsid w:val="299D2FD5"/>
    <w:rsid w:val="29EB74B6"/>
    <w:rsid w:val="29FD638B"/>
    <w:rsid w:val="2A2558EB"/>
    <w:rsid w:val="2A9113E2"/>
    <w:rsid w:val="2BC825D3"/>
    <w:rsid w:val="2C2E598B"/>
    <w:rsid w:val="2C783060"/>
    <w:rsid w:val="2C9F1355"/>
    <w:rsid w:val="2CFC26B9"/>
    <w:rsid w:val="2D4858C7"/>
    <w:rsid w:val="2D6128FB"/>
    <w:rsid w:val="2D6678BC"/>
    <w:rsid w:val="2EC14A5A"/>
    <w:rsid w:val="2F4D1A02"/>
    <w:rsid w:val="2FF84291"/>
    <w:rsid w:val="300B47F9"/>
    <w:rsid w:val="3058325B"/>
    <w:rsid w:val="31495DB1"/>
    <w:rsid w:val="31532D34"/>
    <w:rsid w:val="326C67DD"/>
    <w:rsid w:val="334E0780"/>
    <w:rsid w:val="33EA43D0"/>
    <w:rsid w:val="3440640F"/>
    <w:rsid w:val="34C6361C"/>
    <w:rsid w:val="350154B0"/>
    <w:rsid w:val="3540529D"/>
    <w:rsid w:val="36B47F5B"/>
    <w:rsid w:val="37704032"/>
    <w:rsid w:val="37A61891"/>
    <w:rsid w:val="390D73DF"/>
    <w:rsid w:val="391A5A60"/>
    <w:rsid w:val="39811F8E"/>
    <w:rsid w:val="3A387483"/>
    <w:rsid w:val="3A484300"/>
    <w:rsid w:val="3A781D58"/>
    <w:rsid w:val="3AAD5BAB"/>
    <w:rsid w:val="3BE7282B"/>
    <w:rsid w:val="3C1058BD"/>
    <w:rsid w:val="3C242F12"/>
    <w:rsid w:val="3C8656F6"/>
    <w:rsid w:val="3CB217EF"/>
    <w:rsid w:val="3CC26E94"/>
    <w:rsid w:val="3CD2399D"/>
    <w:rsid w:val="3D4666EE"/>
    <w:rsid w:val="3DE3143E"/>
    <w:rsid w:val="3DF8627B"/>
    <w:rsid w:val="3EEB465F"/>
    <w:rsid w:val="3F2B5857"/>
    <w:rsid w:val="3F5F65BD"/>
    <w:rsid w:val="3F6D3D8F"/>
    <w:rsid w:val="4081166C"/>
    <w:rsid w:val="40943E78"/>
    <w:rsid w:val="41252E37"/>
    <w:rsid w:val="412B0F77"/>
    <w:rsid w:val="41526B64"/>
    <w:rsid w:val="418B1795"/>
    <w:rsid w:val="41CF18BC"/>
    <w:rsid w:val="41FE0139"/>
    <w:rsid w:val="42537038"/>
    <w:rsid w:val="42B36FB9"/>
    <w:rsid w:val="43111B5A"/>
    <w:rsid w:val="437D70A7"/>
    <w:rsid w:val="43DC0DFE"/>
    <w:rsid w:val="441B2A3F"/>
    <w:rsid w:val="4422133E"/>
    <w:rsid w:val="44827585"/>
    <w:rsid w:val="4490065C"/>
    <w:rsid w:val="4698539A"/>
    <w:rsid w:val="46DE61F7"/>
    <w:rsid w:val="478C6771"/>
    <w:rsid w:val="47A577A5"/>
    <w:rsid w:val="47AF752F"/>
    <w:rsid w:val="48A45026"/>
    <w:rsid w:val="48A45240"/>
    <w:rsid w:val="49003B86"/>
    <w:rsid w:val="49326E20"/>
    <w:rsid w:val="49B025BF"/>
    <w:rsid w:val="49D05EFE"/>
    <w:rsid w:val="4CEA797F"/>
    <w:rsid w:val="4E6077C2"/>
    <w:rsid w:val="4FA676FA"/>
    <w:rsid w:val="4FD02BF2"/>
    <w:rsid w:val="4FDF31AD"/>
    <w:rsid w:val="4FFA3BDA"/>
    <w:rsid w:val="500627D4"/>
    <w:rsid w:val="502D1A46"/>
    <w:rsid w:val="50F546A4"/>
    <w:rsid w:val="51B66C9C"/>
    <w:rsid w:val="52CE049F"/>
    <w:rsid w:val="52D566B4"/>
    <w:rsid w:val="52F70A22"/>
    <w:rsid w:val="53641501"/>
    <w:rsid w:val="54302D35"/>
    <w:rsid w:val="5432465F"/>
    <w:rsid w:val="5463295C"/>
    <w:rsid w:val="548D09F3"/>
    <w:rsid w:val="54E93402"/>
    <w:rsid w:val="5501060B"/>
    <w:rsid w:val="554E75F8"/>
    <w:rsid w:val="5599643C"/>
    <w:rsid w:val="55AE5C6D"/>
    <w:rsid w:val="562A2F66"/>
    <w:rsid w:val="56472449"/>
    <w:rsid w:val="56B0688A"/>
    <w:rsid w:val="56E37F6A"/>
    <w:rsid w:val="589837FC"/>
    <w:rsid w:val="58AD5C49"/>
    <w:rsid w:val="5A26446C"/>
    <w:rsid w:val="5B7D6DA9"/>
    <w:rsid w:val="5C3E796F"/>
    <w:rsid w:val="5C747B7F"/>
    <w:rsid w:val="5D205B6B"/>
    <w:rsid w:val="5DC8220F"/>
    <w:rsid w:val="5E432429"/>
    <w:rsid w:val="5E761F04"/>
    <w:rsid w:val="5E790366"/>
    <w:rsid w:val="5F196C11"/>
    <w:rsid w:val="5F2637DC"/>
    <w:rsid w:val="5F662B31"/>
    <w:rsid w:val="60A97E44"/>
    <w:rsid w:val="611E7AD7"/>
    <w:rsid w:val="61F64DBA"/>
    <w:rsid w:val="62646875"/>
    <w:rsid w:val="63BB1863"/>
    <w:rsid w:val="64FF3127"/>
    <w:rsid w:val="65C300A0"/>
    <w:rsid w:val="663728CB"/>
    <w:rsid w:val="67720120"/>
    <w:rsid w:val="67B101D9"/>
    <w:rsid w:val="681D48E0"/>
    <w:rsid w:val="69644FBA"/>
    <w:rsid w:val="6A6E3115"/>
    <w:rsid w:val="6B594E10"/>
    <w:rsid w:val="6BE01421"/>
    <w:rsid w:val="6CD23E4F"/>
    <w:rsid w:val="6CD75451"/>
    <w:rsid w:val="6D804DFF"/>
    <w:rsid w:val="6D9E4DAD"/>
    <w:rsid w:val="6E593D13"/>
    <w:rsid w:val="6F275F2D"/>
    <w:rsid w:val="6F87409D"/>
    <w:rsid w:val="706D12CD"/>
    <w:rsid w:val="70E82EE4"/>
    <w:rsid w:val="712D3121"/>
    <w:rsid w:val="713354CB"/>
    <w:rsid w:val="73EA2BFC"/>
    <w:rsid w:val="74C05867"/>
    <w:rsid w:val="75366B32"/>
    <w:rsid w:val="755A3281"/>
    <w:rsid w:val="76CF6155"/>
    <w:rsid w:val="770E39AB"/>
    <w:rsid w:val="774D10D0"/>
    <w:rsid w:val="77EB1495"/>
    <w:rsid w:val="78366DD1"/>
    <w:rsid w:val="788F6ADB"/>
    <w:rsid w:val="79775B0D"/>
    <w:rsid w:val="7A567F6D"/>
    <w:rsid w:val="7A596681"/>
    <w:rsid w:val="7A7D2198"/>
    <w:rsid w:val="7A873300"/>
    <w:rsid w:val="7B06470A"/>
    <w:rsid w:val="7B204DD4"/>
    <w:rsid w:val="7B7A6217"/>
    <w:rsid w:val="7B867F3A"/>
    <w:rsid w:val="7BD840FB"/>
    <w:rsid w:val="7C1621BD"/>
    <w:rsid w:val="7C935130"/>
    <w:rsid w:val="7CA5020A"/>
    <w:rsid w:val="7CED7B56"/>
    <w:rsid w:val="7DD033BB"/>
    <w:rsid w:val="7DE356A2"/>
    <w:rsid w:val="7ED97E72"/>
    <w:rsid w:val="7EF5010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qFormat="1" w:unhideWhenUsed="0" w:uiPriority="99" w:name="index 4"/>
    <w:lsdException w:uiPriority="99" w:name="index 5" w:locked="1"/>
    <w:lsdException w:uiPriority="99" w:name="index 6" w:locked="1"/>
    <w:lsdException w:qFormat="1" w:unhideWhenUsed="0" w:uiPriority="99" w:name="index 7"/>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qFormat="1" w:unhideWhenUsed="0" w:uiPriority="99" w:semiHidden="0" w:name="Date"/>
    <w:lsdException w:uiPriority="99" w:name="Body Text First Indent" w:locked="1"/>
    <w:lsdException w:qFormat="1" w:unhideWhenUsed="0" w:uiPriority="99" w:semiHidden="0" w:name="Body Text First Indent 2" w:locked="1"/>
    <w:lsdException w:uiPriority="99" w:name="Note Heading" w:locked="1"/>
    <w:lsdException w:uiPriority="99" w:name="Body Text 2" w:locked="1"/>
    <w:lsdException w:uiPriority="99" w:name="Body Text 3" w:locked="1"/>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iPriority="99" w:name="FollowedHyperlink" w:locked="1"/>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50"/>
    <w:qFormat/>
    <w:uiPriority w:val="99"/>
    <w:pPr>
      <w:keepNext/>
      <w:keepLines/>
      <w:spacing w:line="560" w:lineRule="exact"/>
      <w:jc w:val="center"/>
      <w:outlineLvl w:val="0"/>
    </w:pPr>
    <w:rPr>
      <w:rFonts w:eastAsia="黑体"/>
      <w:kern w:val="32"/>
      <w:sz w:val="32"/>
      <w:szCs w:val="32"/>
    </w:rPr>
  </w:style>
  <w:style w:type="paragraph" w:styleId="4">
    <w:name w:val="heading 2"/>
    <w:basedOn w:val="1"/>
    <w:next w:val="1"/>
    <w:link w:val="73"/>
    <w:qFormat/>
    <w:uiPriority w:val="99"/>
    <w:pPr>
      <w:keepNext/>
      <w:keepLines/>
      <w:spacing w:before="260" w:after="260" w:line="416" w:lineRule="auto"/>
      <w:outlineLvl w:val="1"/>
    </w:pPr>
    <w:rPr>
      <w:rFonts w:ascii="Arial" w:hAnsi="Arial" w:eastAsia="黑体" w:cs="Arial"/>
      <w:b/>
      <w:bCs/>
      <w:sz w:val="32"/>
      <w:szCs w:val="32"/>
    </w:rPr>
  </w:style>
  <w:style w:type="paragraph" w:styleId="5">
    <w:name w:val="heading 3"/>
    <w:basedOn w:val="1"/>
    <w:next w:val="1"/>
    <w:link w:val="52"/>
    <w:qFormat/>
    <w:uiPriority w:val="99"/>
    <w:pPr>
      <w:keepNext/>
      <w:keepLines/>
      <w:spacing w:before="260" w:after="260" w:line="416" w:lineRule="auto"/>
      <w:outlineLvl w:val="2"/>
    </w:pPr>
    <w:rPr>
      <w:b/>
      <w:bCs/>
      <w:sz w:val="32"/>
      <w:szCs w:val="32"/>
    </w:rPr>
  </w:style>
  <w:style w:type="paragraph" w:styleId="6">
    <w:name w:val="heading 4"/>
    <w:basedOn w:val="1"/>
    <w:next w:val="1"/>
    <w:link w:val="53"/>
    <w:qFormat/>
    <w:uiPriority w:val="99"/>
    <w:pPr>
      <w:keepNext/>
      <w:keepLines/>
      <w:spacing w:before="280" w:after="290" w:line="372" w:lineRule="auto"/>
      <w:outlineLvl w:val="3"/>
    </w:pPr>
    <w:rPr>
      <w:rFonts w:ascii="Arial" w:hAnsi="Arial" w:eastAsia="黑体" w:cs="Arial"/>
      <w:b/>
      <w:bCs/>
      <w:sz w:val="28"/>
      <w:szCs w:val="28"/>
    </w:rPr>
  </w:style>
  <w:style w:type="paragraph" w:styleId="7">
    <w:name w:val="heading 5"/>
    <w:basedOn w:val="1"/>
    <w:next w:val="1"/>
    <w:link w:val="54"/>
    <w:qFormat/>
    <w:uiPriority w:val="99"/>
    <w:pPr>
      <w:keepNext/>
      <w:keepLines/>
      <w:spacing w:before="280" w:after="290" w:line="372" w:lineRule="auto"/>
      <w:outlineLvl w:val="4"/>
    </w:pPr>
    <w:rPr>
      <w:b/>
      <w:bCs/>
      <w:sz w:val="28"/>
      <w:szCs w:val="28"/>
    </w:rPr>
  </w:style>
  <w:style w:type="paragraph" w:styleId="8">
    <w:name w:val="heading 6"/>
    <w:basedOn w:val="1"/>
    <w:next w:val="1"/>
    <w:link w:val="55"/>
    <w:qFormat/>
    <w:uiPriority w:val="99"/>
    <w:pPr>
      <w:keepNext/>
      <w:keepLines/>
      <w:spacing w:before="240" w:after="64" w:line="317" w:lineRule="auto"/>
      <w:outlineLvl w:val="5"/>
    </w:pPr>
    <w:rPr>
      <w:rFonts w:ascii="Cambria" w:hAnsi="Cambria" w:cs="Cambria"/>
      <w:b/>
      <w:bCs/>
      <w:sz w:val="24"/>
      <w:szCs w:val="24"/>
    </w:rPr>
  </w:style>
  <w:style w:type="paragraph" w:styleId="9">
    <w:name w:val="heading 7"/>
    <w:basedOn w:val="1"/>
    <w:next w:val="1"/>
    <w:link w:val="56"/>
    <w:qFormat/>
    <w:uiPriority w:val="99"/>
    <w:pPr>
      <w:keepNext/>
      <w:keepLines/>
      <w:spacing w:before="240" w:after="64" w:line="317" w:lineRule="auto"/>
      <w:outlineLvl w:val="6"/>
    </w:pPr>
    <w:rPr>
      <w:rFonts w:ascii="Calibri" w:hAnsi="Calibri" w:cs="Calibri"/>
      <w:b/>
      <w:bCs/>
      <w:sz w:val="24"/>
      <w:szCs w:val="24"/>
    </w:rPr>
  </w:style>
  <w:style w:type="paragraph" w:styleId="10">
    <w:name w:val="heading 8"/>
    <w:basedOn w:val="1"/>
    <w:next w:val="1"/>
    <w:link w:val="57"/>
    <w:qFormat/>
    <w:uiPriority w:val="99"/>
    <w:pPr>
      <w:keepNext/>
      <w:keepLines/>
      <w:spacing w:before="240" w:after="64" w:line="317" w:lineRule="auto"/>
      <w:outlineLvl w:val="7"/>
    </w:pPr>
    <w:rPr>
      <w:rFonts w:ascii="Cambria" w:hAnsi="Cambria" w:cs="Cambria"/>
      <w:sz w:val="24"/>
      <w:szCs w:val="24"/>
    </w:rPr>
  </w:style>
  <w:style w:type="paragraph" w:styleId="11">
    <w:name w:val="heading 9"/>
    <w:basedOn w:val="1"/>
    <w:next w:val="1"/>
    <w:link w:val="58"/>
    <w:qFormat/>
    <w:uiPriority w:val="99"/>
    <w:pPr>
      <w:keepNext/>
      <w:keepLines/>
      <w:spacing w:before="240" w:after="64" w:line="317" w:lineRule="auto"/>
      <w:outlineLvl w:val="8"/>
    </w:pPr>
    <w:rPr>
      <w:rFonts w:ascii="Cambria" w:hAnsi="Cambria" w:cs="Cambria"/>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Times New Roman" w:cs="Times New Roman"/>
      <w:color w:val="000000"/>
      <w:sz w:val="24"/>
      <w:lang w:val="en-US" w:eastAsia="zh-CN" w:bidi="ar-SA"/>
    </w:rPr>
  </w:style>
  <w:style w:type="paragraph" w:styleId="12">
    <w:name w:val="toc 7"/>
    <w:basedOn w:val="1"/>
    <w:next w:val="1"/>
    <w:semiHidden/>
    <w:qFormat/>
    <w:uiPriority w:val="99"/>
    <w:pPr>
      <w:ind w:left="2520" w:leftChars="1200"/>
    </w:pPr>
    <w:rPr>
      <w:rFonts w:ascii="Calibri" w:hAnsi="Calibri" w:cs="Calibri"/>
    </w:rPr>
  </w:style>
  <w:style w:type="paragraph" w:styleId="13">
    <w:name w:val="Normal Indent"/>
    <w:basedOn w:val="1"/>
    <w:link w:val="80"/>
    <w:qFormat/>
    <w:uiPriority w:val="99"/>
    <w:pPr>
      <w:ind w:firstLine="420" w:firstLineChars="200"/>
    </w:pPr>
    <w:rPr>
      <w:kern w:val="0"/>
      <w:sz w:val="24"/>
      <w:szCs w:val="24"/>
    </w:rPr>
  </w:style>
  <w:style w:type="paragraph" w:styleId="14">
    <w:name w:val="caption"/>
    <w:basedOn w:val="1"/>
    <w:next w:val="1"/>
    <w:qFormat/>
    <w:uiPriority w:val="99"/>
    <w:pPr>
      <w:ind w:firstLine="6290" w:firstLineChars="2282"/>
    </w:pPr>
    <w:rPr>
      <w:b/>
      <w:bCs/>
      <w:color w:val="000080"/>
      <w:sz w:val="28"/>
      <w:szCs w:val="28"/>
    </w:rPr>
  </w:style>
  <w:style w:type="paragraph" w:styleId="15">
    <w:name w:val="Document Map"/>
    <w:basedOn w:val="1"/>
    <w:link w:val="59"/>
    <w:semiHidden/>
    <w:qFormat/>
    <w:uiPriority w:val="99"/>
    <w:rPr>
      <w:rFonts w:ascii="宋体" w:cs="宋体"/>
      <w:sz w:val="18"/>
      <w:szCs w:val="18"/>
    </w:rPr>
  </w:style>
  <w:style w:type="paragraph" w:styleId="16">
    <w:name w:val="annotation text"/>
    <w:basedOn w:val="1"/>
    <w:link w:val="60"/>
    <w:semiHidden/>
    <w:qFormat/>
    <w:uiPriority w:val="99"/>
    <w:pPr>
      <w:jc w:val="left"/>
    </w:pPr>
    <w:rPr>
      <w:rFonts w:ascii="Calibri" w:hAnsi="Calibri" w:cs="Calibri"/>
      <w:sz w:val="18"/>
      <w:szCs w:val="18"/>
    </w:rPr>
  </w:style>
  <w:style w:type="paragraph" w:styleId="17">
    <w:name w:val="Body Text"/>
    <w:basedOn w:val="1"/>
    <w:next w:val="1"/>
    <w:link w:val="61"/>
    <w:qFormat/>
    <w:uiPriority w:val="99"/>
    <w:pPr>
      <w:spacing w:after="120"/>
    </w:pPr>
  </w:style>
  <w:style w:type="paragraph" w:styleId="18">
    <w:name w:val="Body Text Indent"/>
    <w:basedOn w:val="1"/>
    <w:next w:val="19"/>
    <w:link w:val="62"/>
    <w:qFormat/>
    <w:uiPriority w:val="99"/>
    <w:pPr>
      <w:ind w:firstLine="630"/>
    </w:pPr>
    <w:rPr>
      <w:sz w:val="32"/>
      <w:szCs w:val="32"/>
    </w:rPr>
  </w:style>
  <w:style w:type="paragraph" w:styleId="19">
    <w:name w:val="footer"/>
    <w:basedOn w:val="1"/>
    <w:link w:val="67"/>
    <w:qFormat/>
    <w:uiPriority w:val="99"/>
    <w:pPr>
      <w:tabs>
        <w:tab w:val="center" w:pos="4153"/>
        <w:tab w:val="right" w:pos="8306"/>
      </w:tabs>
      <w:snapToGrid w:val="0"/>
      <w:jc w:val="left"/>
    </w:pPr>
    <w:rPr>
      <w:sz w:val="18"/>
      <w:szCs w:val="18"/>
    </w:rPr>
  </w:style>
  <w:style w:type="paragraph" w:styleId="20">
    <w:name w:val="index 4"/>
    <w:basedOn w:val="1"/>
    <w:next w:val="1"/>
    <w:semiHidden/>
    <w:qFormat/>
    <w:uiPriority w:val="99"/>
    <w:pPr>
      <w:ind w:left="600" w:leftChars="600"/>
    </w:pPr>
  </w:style>
  <w:style w:type="paragraph" w:styleId="21">
    <w:name w:val="toc 5"/>
    <w:basedOn w:val="1"/>
    <w:next w:val="1"/>
    <w:semiHidden/>
    <w:qFormat/>
    <w:uiPriority w:val="99"/>
    <w:pPr>
      <w:tabs>
        <w:tab w:val="right" w:leader="dot" w:pos="8296"/>
      </w:tabs>
      <w:ind w:left="1050" w:leftChars="500"/>
    </w:pPr>
    <w:rPr>
      <w:rFonts w:ascii="Calibri" w:hAnsi="Calibri" w:cs="Calibri"/>
    </w:rPr>
  </w:style>
  <w:style w:type="paragraph" w:styleId="22">
    <w:name w:val="toc 3"/>
    <w:basedOn w:val="1"/>
    <w:next w:val="1"/>
    <w:semiHidden/>
    <w:qFormat/>
    <w:uiPriority w:val="99"/>
    <w:pPr>
      <w:ind w:left="840" w:leftChars="400"/>
    </w:pPr>
  </w:style>
  <w:style w:type="paragraph" w:styleId="23">
    <w:name w:val="Plain Text"/>
    <w:basedOn w:val="1"/>
    <w:link w:val="63"/>
    <w:qFormat/>
    <w:uiPriority w:val="99"/>
    <w:pPr>
      <w:autoSpaceDE w:val="0"/>
      <w:autoSpaceDN w:val="0"/>
      <w:adjustRightInd w:val="0"/>
    </w:pPr>
    <w:rPr>
      <w:rFonts w:ascii="宋体" w:hAnsi="Tms Rmn" w:cs="宋体"/>
    </w:rPr>
  </w:style>
  <w:style w:type="paragraph" w:styleId="24">
    <w:name w:val="toc 8"/>
    <w:basedOn w:val="1"/>
    <w:next w:val="1"/>
    <w:semiHidden/>
    <w:qFormat/>
    <w:uiPriority w:val="99"/>
    <w:pPr>
      <w:ind w:left="2940" w:leftChars="1400"/>
    </w:pPr>
    <w:rPr>
      <w:rFonts w:ascii="Calibri" w:hAnsi="Calibri" w:cs="Calibri"/>
    </w:rPr>
  </w:style>
  <w:style w:type="paragraph" w:styleId="25">
    <w:name w:val="Date"/>
    <w:basedOn w:val="1"/>
    <w:next w:val="1"/>
    <w:link w:val="64"/>
    <w:qFormat/>
    <w:uiPriority w:val="99"/>
  </w:style>
  <w:style w:type="paragraph" w:styleId="26">
    <w:name w:val="Body Text Indent 2"/>
    <w:basedOn w:val="1"/>
    <w:link w:val="65"/>
    <w:qFormat/>
    <w:uiPriority w:val="99"/>
    <w:pPr>
      <w:spacing w:after="120" w:line="480" w:lineRule="auto"/>
      <w:ind w:left="420" w:leftChars="200"/>
    </w:pPr>
  </w:style>
  <w:style w:type="paragraph" w:styleId="27">
    <w:name w:val="Balloon Text"/>
    <w:basedOn w:val="1"/>
    <w:link w:val="66"/>
    <w:semiHidden/>
    <w:qFormat/>
    <w:uiPriority w:val="99"/>
    <w:rPr>
      <w:sz w:val="18"/>
      <w:szCs w:val="18"/>
    </w:rPr>
  </w:style>
  <w:style w:type="paragraph" w:styleId="28">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99"/>
    <w:pPr>
      <w:spacing w:line="480" w:lineRule="auto"/>
    </w:pPr>
    <w:rPr>
      <w:sz w:val="24"/>
      <w:szCs w:val="24"/>
    </w:rPr>
  </w:style>
  <w:style w:type="paragraph" w:styleId="30">
    <w:name w:val="toc 4"/>
    <w:basedOn w:val="1"/>
    <w:next w:val="1"/>
    <w:semiHidden/>
    <w:qFormat/>
    <w:uiPriority w:val="99"/>
    <w:pPr>
      <w:tabs>
        <w:tab w:val="left" w:pos="1890"/>
        <w:tab w:val="right" w:leader="dot" w:pos="8296"/>
      </w:tabs>
      <w:ind w:left="630" w:leftChars="300"/>
    </w:pPr>
    <w:rPr>
      <w:rFonts w:ascii="Calibri" w:hAnsi="Calibri" w:cs="Calibri"/>
    </w:rPr>
  </w:style>
  <w:style w:type="paragraph" w:styleId="31">
    <w:name w:val="Subtitle"/>
    <w:basedOn w:val="1"/>
    <w:next w:val="1"/>
    <w:link w:val="146"/>
    <w:qFormat/>
    <w:uiPriority w:val="99"/>
    <w:pPr>
      <w:spacing w:before="240" w:after="60" w:line="312" w:lineRule="auto"/>
      <w:jc w:val="center"/>
      <w:outlineLvl w:val="1"/>
    </w:pPr>
    <w:rPr>
      <w:rFonts w:ascii="Cambria" w:hAnsi="Cambria" w:cs="Cambria"/>
      <w:b/>
      <w:bCs/>
      <w:kern w:val="28"/>
      <w:sz w:val="32"/>
      <w:szCs w:val="32"/>
    </w:rPr>
  </w:style>
  <w:style w:type="paragraph" w:styleId="32">
    <w:name w:val="toc 6"/>
    <w:basedOn w:val="1"/>
    <w:next w:val="1"/>
    <w:semiHidden/>
    <w:qFormat/>
    <w:uiPriority w:val="99"/>
    <w:pPr>
      <w:ind w:left="2100" w:leftChars="1000"/>
    </w:pPr>
    <w:rPr>
      <w:rFonts w:ascii="Calibri" w:hAnsi="Calibri" w:cs="Calibri"/>
    </w:rPr>
  </w:style>
  <w:style w:type="paragraph" w:styleId="33">
    <w:name w:val="Body Text Indent 3"/>
    <w:basedOn w:val="1"/>
    <w:link w:val="70"/>
    <w:qFormat/>
    <w:uiPriority w:val="99"/>
    <w:pPr>
      <w:spacing w:after="120"/>
      <w:ind w:left="420" w:leftChars="200"/>
    </w:pPr>
    <w:rPr>
      <w:sz w:val="16"/>
      <w:szCs w:val="16"/>
    </w:rPr>
  </w:style>
  <w:style w:type="paragraph" w:styleId="34">
    <w:name w:val="index 7"/>
    <w:basedOn w:val="1"/>
    <w:next w:val="1"/>
    <w:semiHidden/>
    <w:qFormat/>
    <w:uiPriority w:val="99"/>
    <w:pPr>
      <w:ind w:left="1200" w:leftChars="1200"/>
    </w:pPr>
  </w:style>
  <w:style w:type="paragraph" w:styleId="35">
    <w:name w:val="toc 2"/>
    <w:basedOn w:val="1"/>
    <w:next w:val="1"/>
    <w:semiHidden/>
    <w:qFormat/>
    <w:uiPriority w:val="99"/>
    <w:pPr>
      <w:ind w:left="420" w:leftChars="200"/>
    </w:pPr>
  </w:style>
  <w:style w:type="paragraph" w:styleId="36">
    <w:name w:val="toc 9"/>
    <w:basedOn w:val="1"/>
    <w:next w:val="1"/>
    <w:semiHidden/>
    <w:qFormat/>
    <w:uiPriority w:val="99"/>
    <w:pPr>
      <w:ind w:left="3360" w:leftChars="1600"/>
    </w:pPr>
    <w:rPr>
      <w:rFonts w:ascii="Calibri" w:hAnsi="Calibri" w:cs="Calibri"/>
    </w:rPr>
  </w:style>
  <w:style w:type="paragraph" w:styleId="37">
    <w:name w:val="Normal (Web)"/>
    <w:basedOn w:val="1"/>
    <w:qFormat/>
    <w:uiPriority w:val="99"/>
    <w:pPr>
      <w:widowControl/>
      <w:spacing w:before="100" w:beforeAutospacing="1" w:after="100" w:afterAutospacing="1"/>
      <w:jc w:val="left"/>
    </w:pPr>
    <w:rPr>
      <w:rFonts w:ascii="宋体" w:hAnsi="宋体" w:cs="宋体"/>
      <w:kern w:val="0"/>
      <w:sz w:val="18"/>
      <w:szCs w:val="18"/>
    </w:rPr>
  </w:style>
  <w:style w:type="paragraph" w:styleId="38">
    <w:name w:val="Title"/>
    <w:basedOn w:val="1"/>
    <w:next w:val="1"/>
    <w:link w:val="102"/>
    <w:qFormat/>
    <w:uiPriority w:val="99"/>
    <w:pPr>
      <w:spacing w:before="240" w:after="60"/>
      <w:jc w:val="center"/>
      <w:outlineLvl w:val="0"/>
    </w:pPr>
    <w:rPr>
      <w:rFonts w:ascii="Cambria" w:hAnsi="Cambria" w:cs="Cambria"/>
      <w:b/>
      <w:bCs/>
      <w:sz w:val="32"/>
      <w:szCs w:val="32"/>
    </w:rPr>
  </w:style>
  <w:style w:type="paragraph" w:styleId="39">
    <w:name w:val="annotation subject"/>
    <w:basedOn w:val="16"/>
    <w:next w:val="16"/>
    <w:link w:val="72"/>
    <w:semiHidden/>
    <w:qFormat/>
    <w:uiPriority w:val="99"/>
    <w:rPr>
      <w:b/>
      <w:bCs/>
      <w:sz w:val="21"/>
      <w:szCs w:val="21"/>
    </w:rPr>
  </w:style>
  <w:style w:type="paragraph" w:styleId="40">
    <w:name w:val="Body Text First Indent 2"/>
    <w:basedOn w:val="18"/>
    <w:next w:val="1"/>
    <w:qFormat/>
    <w:locked/>
    <w:uiPriority w:val="99"/>
    <w:pPr>
      <w:ind w:firstLine="420" w:firstLineChars="200"/>
    </w:pPr>
    <w:rPr>
      <w:sz w:val="22"/>
    </w:rPr>
  </w:style>
  <w:style w:type="table" w:styleId="42">
    <w:name w:val="Table Grid"/>
    <w:basedOn w:val="4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99"/>
    <w:rPr>
      <w:b/>
      <w:bCs/>
    </w:rPr>
  </w:style>
  <w:style w:type="character" w:styleId="45">
    <w:name w:val="page number"/>
    <w:basedOn w:val="43"/>
    <w:qFormat/>
    <w:uiPriority w:val="99"/>
  </w:style>
  <w:style w:type="character" w:styleId="46">
    <w:name w:val="FollowedHyperlink"/>
    <w:basedOn w:val="43"/>
    <w:semiHidden/>
    <w:unhideWhenUsed/>
    <w:qFormat/>
    <w:locked/>
    <w:uiPriority w:val="99"/>
    <w:rPr>
      <w:color w:val="800080"/>
      <w:u w:val="single"/>
    </w:rPr>
  </w:style>
  <w:style w:type="character" w:styleId="47">
    <w:name w:val="Emphasis"/>
    <w:basedOn w:val="43"/>
    <w:qFormat/>
    <w:uiPriority w:val="99"/>
    <w:rPr>
      <w:i/>
      <w:iCs/>
    </w:rPr>
  </w:style>
  <w:style w:type="character" w:styleId="48">
    <w:name w:val="Hyperlink"/>
    <w:basedOn w:val="43"/>
    <w:qFormat/>
    <w:uiPriority w:val="99"/>
    <w:rPr>
      <w:color w:val="0000FF"/>
      <w:u w:val="single"/>
    </w:rPr>
  </w:style>
  <w:style w:type="character" w:styleId="49">
    <w:name w:val="annotation reference"/>
    <w:basedOn w:val="43"/>
    <w:semiHidden/>
    <w:qFormat/>
    <w:uiPriority w:val="99"/>
    <w:rPr>
      <w:sz w:val="21"/>
      <w:szCs w:val="21"/>
    </w:rPr>
  </w:style>
  <w:style w:type="character" w:customStyle="1" w:styleId="50">
    <w:name w:val="标题 1 字符"/>
    <w:basedOn w:val="43"/>
    <w:link w:val="3"/>
    <w:qFormat/>
    <w:locked/>
    <w:uiPriority w:val="99"/>
    <w:rPr>
      <w:rFonts w:ascii="Times New Roman" w:hAnsi="Times New Roman" w:eastAsia="黑体" w:cs="Times New Roman"/>
      <w:kern w:val="32"/>
      <w:sz w:val="32"/>
      <w:szCs w:val="32"/>
    </w:rPr>
  </w:style>
  <w:style w:type="character" w:customStyle="1" w:styleId="51">
    <w:name w:val="Heading 2 Char"/>
    <w:basedOn w:val="43"/>
    <w:semiHidden/>
    <w:qFormat/>
    <w:locked/>
    <w:uiPriority w:val="99"/>
    <w:rPr>
      <w:rFonts w:ascii="Cambria" w:hAnsi="Cambria" w:eastAsia="宋体" w:cs="Cambria"/>
      <w:b/>
      <w:bCs/>
      <w:sz w:val="32"/>
      <w:szCs w:val="32"/>
    </w:rPr>
  </w:style>
  <w:style w:type="character" w:customStyle="1" w:styleId="52">
    <w:name w:val="标题 3 字符"/>
    <w:basedOn w:val="43"/>
    <w:link w:val="5"/>
    <w:qFormat/>
    <w:locked/>
    <w:uiPriority w:val="99"/>
    <w:rPr>
      <w:rFonts w:ascii="Times New Roman" w:hAnsi="Times New Roman" w:eastAsia="宋体" w:cs="Times New Roman"/>
      <w:b/>
      <w:bCs/>
      <w:sz w:val="32"/>
      <w:szCs w:val="32"/>
    </w:rPr>
  </w:style>
  <w:style w:type="character" w:customStyle="1" w:styleId="53">
    <w:name w:val="标题 4 字符"/>
    <w:basedOn w:val="43"/>
    <w:link w:val="6"/>
    <w:qFormat/>
    <w:locked/>
    <w:uiPriority w:val="99"/>
    <w:rPr>
      <w:rFonts w:ascii="Arial" w:hAnsi="Arial" w:eastAsia="黑体" w:cs="Arial"/>
      <w:b/>
      <w:bCs/>
      <w:kern w:val="2"/>
      <w:sz w:val="28"/>
      <w:szCs w:val="28"/>
    </w:rPr>
  </w:style>
  <w:style w:type="character" w:customStyle="1" w:styleId="54">
    <w:name w:val="标题 5 字符"/>
    <w:basedOn w:val="43"/>
    <w:link w:val="7"/>
    <w:qFormat/>
    <w:locked/>
    <w:uiPriority w:val="99"/>
    <w:rPr>
      <w:rFonts w:ascii="Times New Roman" w:hAnsi="Times New Roman" w:eastAsia="宋体" w:cs="Times New Roman"/>
      <w:b/>
      <w:bCs/>
      <w:kern w:val="2"/>
      <w:sz w:val="28"/>
      <w:szCs w:val="28"/>
    </w:rPr>
  </w:style>
  <w:style w:type="character" w:customStyle="1" w:styleId="55">
    <w:name w:val="标题 6 字符"/>
    <w:basedOn w:val="43"/>
    <w:link w:val="8"/>
    <w:qFormat/>
    <w:locked/>
    <w:uiPriority w:val="99"/>
    <w:rPr>
      <w:rFonts w:ascii="Cambria" w:hAnsi="Cambria" w:eastAsia="宋体" w:cs="Cambria"/>
      <w:b/>
      <w:bCs/>
      <w:kern w:val="2"/>
      <w:sz w:val="24"/>
      <w:szCs w:val="24"/>
    </w:rPr>
  </w:style>
  <w:style w:type="character" w:customStyle="1" w:styleId="56">
    <w:name w:val="标题 7 字符"/>
    <w:basedOn w:val="43"/>
    <w:link w:val="9"/>
    <w:qFormat/>
    <w:locked/>
    <w:uiPriority w:val="99"/>
    <w:rPr>
      <w:rFonts w:ascii="Calibri" w:hAnsi="Calibri" w:eastAsia="宋体" w:cs="Calibri"/>
      <w:b/>
      <w:bCs/>
      <w:kern w:val="2"/>
      <w:sz w:val="24"/>
      <w:szCs w:val="24"/>
    </w:rPr>
  </w:style>
  <w:style w:type="character" w:customStyle="1" w:styleId="57">
    <w:name w:val="标题 8 字符"/>
    <w:basedOn w:val="43"/>
    <w:link w:val="10"/>
    <w:qFormat/>
    <w:locked/>
    <w:uiPriority w:val="99"/>
    <w:rPr>
      <w:rFonts w:ascii="Cambria" w:hAnsi="Cambria" w:eastAsia="宋体" w:cs="Cambria"/>
      <w:kern w:val="2"/>
      <w:sz w:val="24"/>
      <w:szCs w:val="24"/>
    </w:rPr>
  </w:style>
  <w:style w:type="character" w:customStyle="1" w:styleId="58">
    <w:name w:val="标题 9 字符"/>
    <w:basedOn w:val="43"/>
    <w:link w:val="11"/>
    <w:qFormat/>
    <w:locked/>
    <w:uiPriority w:val="99"/>
    <w:rPr>
      <w:rFonts w:ascii="Cambria" w:hAnsi="Cambria" w:eastAsia="宋体" w:cs="Cambria"/>
      <w:kern w:val="2"/>
      <w:sz w:val="21"/>
      <w:szCs w:val="21"/>
    </w:rPr>
  </w:style>
  <w:style w:type="character" w:customStyle="1" w:styleId="59">
    <w:name w:val="文档结构图 字符"/>
    <w:basedOn w:val="43"/>
    <w:link w:val="15"/>
    <w:qFormat/>
    <w:locked/>
    <w:uiPriority w:val="99"/>
    <w:rPr>
      <w:rFonts w:ascii="宋体" w:hAnsi="Times New Roman" w:eastAsia="宋体" w:cs="宋体"/>
      <w:sz w:val="18"/>
      <w:szCs w:val="18"/>
    </w:rPr>
  </w:style>
  <w:style w:type="character" w:customStyle="1" w:styleId="60">
    <w:name w:val="批注文字 字符"/>
    <w:basedOn w:val="43"/>
    <w:link w:val="16"/>
    <w:qFormat/>
    <w:locked/>
    <w:uiPriority w:val="99"/>
    <w:rPr>
      <w:rFonts w:ascii="Times New Roman" w:hAnsi="Times New Roman" w:eastAsia="宋体" w:cs="Times New Roman"/>
      <w:sz w:val="24"/>
      <w:szCs w:val="24"/>
    </w:rPr>
  </w:style>
  <w:style w:type="character" w:customStyle="1" w:styleId="61">
    <w:name w:val="正文文本 字符"/>
    <w:basedOn w:val="43"/>
    <w:link w:val="17"/>
    <w:qFormat/>
    <w:locked/>
    <w:uiPriority w:val="99"/>
    <w:rPr>
      <w:rFonts w:ascii="Times New Roman" w:hAnsi="Times New Roman" w:eastAsia="宋体" w:cs="Times New Roman"/>
      <w:sz w:val="24"/>
      <w:szCs w:val="24"/>
    </w:rPr>
  </w:style>
  <w:style w:type="character" w:customStyle="1" w:styleId="62">
    <w:name w:val="正文文本缩进 字符"/>
    <w:basedOn w:val="43"/>
    <w:link w:val="18"/>
    <w:qFormat/>
    <w:locked/>
    <w:uiPriority w:val="99"/>
    <w:rPr>
      <w:rFonts w:ascii="Times New Roman" w:hAnsi="Times New Roman" w:eastAsia="宋体" w:cs="Times New Roman"/>
      <w:sz w:val="20"/>
      <w:szCs w:val="20"/>
    </w:rPr>
  </w:style>
  <w:style w:type="character" w:customStyle="1" w:styleId="63">
    <w:name w:val="纯文本 字符"/>
    <w:basedOn w:val="43"/>
    <w:link w:val="23"/>
    <w:qFormat/>
    <w:locked/>
    <w:uiPriority w:val="99"/>
    <w:rPr>
      <w:rFonts w:ascii="宋体" w:hAnsi="Courier New" w:eastAsia="宋体" w:cs="宋体"/>
      <w:sz w:val="21"/>
      <w:szCs w:val="21"/>
    </w:rPr>
  </w:style>
  <w:style w:type="character" w:customStyle="1" w:styleId="64">
    <w:name w:val="日期 字符"/>
    <w:basedOn w:val="43"/>
    <w:link w:val="25"/>
    <w:qFormat/>
    <w:locked/>
    <w:uiPriority w:val="99"/>
    <w:rPr>
      <w:rFonts w:ascii="Times New Roman" w:hAnsi="Times New Roman" w:eastAsia="宋体" w:cs="Times New Roman"/>
      <w:kern w:val="2"/>
      <w:sz w:val="21"/>
      <w:szCs w:val="21"/>
    </w:rPr>
  </w:style>
  <w:style w:type="character" w:customStyle="1" w:styleId="65">
    <w:name w:val="正文文本缩进 2 字符"/>
    <w:basedOn w:val="43"/>
    <w:link w:val="26"/>
    <w:qFormat/>
    <w:locked/>
    <w:uiPriority w:val="99"/>
    <w:rPr>
      <w:rFonts w:ascii="Times New Roman" w:hAnsi="Times New Roman" w:eastAsia="宋体" w:cs="Times New Roman"/>
      <w:sz w:val="24"/>
      <w:szCs w:val="24"/>
    </w:rPr>
  </w:style>
  <w:style w:type="character" w:customStyle="1" w:styleId="66">
    <w:name w:val="批注框文本 字符"/>
    <w:basedOn w:val="43"/>
    <w:link w:val="27"/>
    <w:qFormat/>
    <w:locked/>
    <w:uiPriority w:val="99"/>
    <w:rPr>
      <w:rFonts w:ascii="Times New Roman" w:hAnsi="Times New Roman" w:eastAsia="宋体" w:cs="Times New Roman"/>
      <w:sz w:val="18"/>
      <w:szCs w:val="18"/>
    </w:rPr>
  </w:style>
  <w:style w:type="character" w:customStyle="1" w:styleId="67">
    <w:name w:val="页脚 字符"/>
    <w:basedOn w:val="43"/>
    <w:link w:val="19"/>
    <w:qFormat/>
    <w:locked/>
    <w:uiPriority w:val="99"/>
    <w:rPr>
      <w:sz w:val="18"/>
      <w:szCs w:val="18"/>
    </w:rPr>
  </w:style>
  <w:style w:type="character" w:customStyle="1" w:styleId="68">
    <w:name w:val="页眉 字符"/>
    <w:basedOn w:val="43"/>
    <w:link w:val="28"/>
    <w:qFormat/>
    <w:locked/>
    <w:uiPriority w:val="99"/>
    <w:rPr>
      <w:sz w:val="18"/>
      <w:szCs w:val="18"/>
    </w:rPr>
  </w:style>
  <w:style w:type="character" w:customStyle="1" w:styleId="69">
    <w:name w:val="Subtitle Char"/>
    <w:basedOn w:val="43"/>
    <w:qFormat/>
    <w:locked/>
    <w:uiPriority w:val="99"/>
    <w:rPr>
      <w:rFonts w:ascii="Cambria" w:hAnsi="Cambria" w:cs="Cambria"/>
      <w:b/>
      <w:bCs/>
      <w:kern w:val="28"/>
      <w:sz w:val="32"/>
      <w:szCs w:val="32"/>
    </w:rPr>
  </w:style>
  <w:style w:type="character" w:customStyle="1" w:styleId="70">
    <w:name w:val="正文文本缩进 3 字符"/>
    <w:basedOn w:val="43"/>
    <w:link w:val="33"/>
    <w:qFormat/>
    <w:locked/>
    <w:uiPriority w:val="99"/>
    <w:rPr>
      <w:rFonts w:ascii="Times New Roman" w:hAnsi="Times New Roman" w:eastAsia="宋体" w:cs="Times New Roman"/>
      <w:sz w:val="16"/>
      <w:szCs w:val="16"/>
    </w:rPr>
  </w:style>
  <w:style w:type="character" w:customStyle="1" w:styleId="71">
    <w:name w:val="Title Char"/>
    <w:basedOn w:val="43"/>
    <w:qFormat/>
    <w:locked/>
    <w:uiPriority w:val="99"/>
    <w:rPr>
      <w:rFonts w:ascii="Cambria" w:hAnsi="Cambria" w:cs="Cambria"/>
      <w:b/>
      <w:bCs/>
      <w:kern w:val="2"/>
      <w:sz w:val="32"/>
      <w:szCs w:val="32"/>
    </w:rPr>
  </w:style>
  <w:style w:type="character" w:customStyle="1" w:styleId="72">
    <w:name w:val="批注主题 字符"/>
    <w:basedOn w:val="60"/>
    <w:link w:val="39"/>
    <w:qFormat/>
    <w:locked/>
    <w:uiPriority w:val="99"/>
    <w:rPr>
      <w:rFonts w:ascii="Times New Roman" w:hAnsi="Times New Roman" w:eastAsia="宋体" w:cs="Times New Roman"/>
      <w:b/>
      <w:bCs/>
      <w:sz w:val="24"/>
      <w:szCs w:val="24"/>
    </w:rPr>
  </w:style>
  <w:style w:type="character" w:customStyle="1" w:styleId="73">
    <w:name w:val="标题 2 字符"/>
    <w:basedOn w:val="43"/>
    <w:link w:val="4"/>
    <w:qFormat/>
    <w:locked/>
    <w:uiPriority w:val="99"/>
    <w:rPr>
      <w:rFonts w:ascii="Arial" w:hAnsi="Arial" w:eastAsia="黑体" w:cs="Arial"/>
      <w:b/>
      <w:bCs/>
      <w:sz w:val="32"/>
      <w:szCs w:val="32"/>
    </w:rPr>
  </w:style>
  <w:style w:type="paragraph" w:customStyle="1" w:styleId="74">
    <w:name w:val="正文首行缩进两字符"/>
    <w:basedOn w:val="1"/>
    <w:qFormat/>
    <w:uiPriority w:val="99"/>
    <w:pPr>
      <w:spacing w:line="360" w:lineRule="auto"/>
      <w:ind w:firstLine="200" w:firstLineChars="200"/>
    </w:pPr>
  </w:style>
  <w:style w:type="paragraph" w:customStyle="1" w:styleId="75">
    <w:name w:val="正文1"/>
    <w:qFormat/>
    <w:uiPriority w:val="99"/>
    <w:pPr>
      <w:widowControl w:val="0"/>
      <w:adjustRightInd w:val="0"/>
      <w:spacing w:line="312" w:lineRule="atLeast"/>
      <w:jc w:val="both"/>
      <w:textAlignment w:val="baseline"/>
    </w:pPr>
    <w:rPr>
      <w:rFonts w:ascii="宋体" w:hAnsi="Times New Roman" w:eastAsia="宋体" w:cs="宋体"/>
      <w:sz w:val="34"/>
      <w:szCs w:val="34"/>
      <w:lang w:val="en-US" w:eastAsia="zh-CN" w:bidi="ar-SA"/>
    </w:rPr>
  </w:style>
  <w:style w:type="paragraph" w:customStyle="1" w:styleId="76">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77">
    <w:name w:val="表格"/>
    <w:basedOn w:val="1"/>
    <w:qFormat/>
    <w:uiPriority w:val="99"/>
    <w:pPr>
      <w:spacing w:line="400" w:lineRule="exact"/>
    </w:pPr>
    <w:rPr>
      <w:sz w:val="24"/>
      <w:szCs w:val="24"/>
    </w:rPr>
  </w:style>
  <w:style w:type="paragraph" w:customStyle="1" w:styleId="78">
    <w:name w:val="样式 首行缩进:  2 字符"/>
    <w:basedOn w:val="1"/>
    <w:qFormat/>
    <w:uiPriority w:val="99"/>
    <w:pPr>
      <w:spacing w:line="400" w:lineRule="exact"/>
      <w:ind w:firstLine="200" w:firstLineChars="200"/>
    </w:pPr>
    <w:rPr>
      <w:sz w:val="24"/>
      <w:szCs w:val="24"/>
    </w:rPr>
  </w:style>
  <w:style w:type="character" w:customStyle="1" w:styleId="79">
    <w:name w:val="（符号）邀请函中一、"/>
    <w:basedOn w:val="43"/>
    <w:qFormat/>
    <w:uiPriority w:val="99"/>
    <w:rPr>
      <w:rFonts w:ascii="黑体" w:hAnsi="黑体" w:eastAsia="黑体" w:cs="黑体"/>
      <w:b/>
      <w:bCs/>
      <w:sz w:val="24"/>
      <w:szCs w:val="24"/>
    </w:rPr>
  </w:style>
  <w:style w:type="character" w:customStyle="1" w:styleId="80">
    <w:name w:val="正文缩进 字符"/>
    <w:link w:val="13"/>
    <w:qFormat/>
    <w:locked/>
    <w:uiPriority w:val="99"/>
    <w:rPr>
      <w:rFonts w:ascii="Times New Roman" w:hAnsi="Times New Roman" w:eastAsia="宋体" w:cs="Times New Roman"/>
      <w:sz w:val="24"/>
      <w:szCs w:val="24"/>
    </w:rPr>
  </w:style>
  <w:style w:type="character" w:customStyle="1" w:styleId="81">
    <w:name w:val="Char Char9"/>
    <w:qFormat/>
    <w:uiPriority w:val="99"/>
    <w:rPr>
      <w:kern w:val="2"/>
      <w:sz w:val="21"/>
      <w:szCs w:val="21"/>
    </w:rPr>
  </w:style>
  <w:style w:type="character" w:customStyle="1" w:styleId="82">
    <w:name w:val="批注文字 Char"/>
    <w:qFormat/>
    <w:uiPriority w:val="99"/>
    <w:rPr>
      <w:sz w:val="18"/>
      <w:szCs w:val="18"/>
    </w:rPr>
  </w:style>
  <w:style w:type="character" w:customStyle="1" w:styleId="83">
    <w:name w:val="纯文本 Char"/>
    <w:qFormat/>
    <w:uiPriority w:val="99"/>
    <w:rPr>
      <w:rFonts w:ascii="宋体" w:hAnsi="Tms Rmn" w:eastAsia="宋体" w:cs="宋体"/>
    </w:rPr>
  </w:style>
  <w:style w:type="paragraph" w:customStyle="1" w:styleId="84">
    <w:name w:val="GW-正文"/>
    <w:basedOn w:val="1"/>
    <w:link w:val="85"/>
    <w:qFormat/>
    <w:uiPriority w:val="99"/>
    <w:pPr>
      <w:spacing w:line="360" w:lineRule="auto"/>
      <w:ind w:firstLine="200" w:firstLineChars="200"/>
    </w:pPr>
    <w:rPr>
      <w:rFonts w:eastAsia="仿宋_GB2312"/>
      <w:kern w:val="0"/>
      <w:sz w:val="24"/>
      <w:szCs w:val="24"/>
    </w:rPr>
  </w:style>
  <w:style w:type="character" w:customStyle="1" w:styleId="85">
    <w:name w:val="GW-正文 Char"/>
    <w:link w:val="84"/>
    <w:qFormat/>
    <w:locked/>
    <w:uiPriority w:val="99"/>
    <w:rPr>
      <w:rFonts w:ascii="Times New Roman" w:hAnsi="Times New Roman" w:eastAsia="仿宋_GB2312" w:cs="Times New Roman"/>
      <w:sz w:val="24"/>
      <w:szCs w:val="24"/>
    </w:rPr>
  </w:style>
  <w:style w:type="paragraph" w:styleId="86">
    <w:name w:val="List Paragraph"/>
    <w:basedOn w:val="1"/>
    <w:link w:val="87"/>
    <w:qFormat/>
    <w:uiPriority w:val="99"/>
    <w:pPr>
      <w:ind w:firstLine="420" w:firstLineChars="200"/>
    </w:pPr>
    <w:rPr>
      <w:kern w:val="0"/>
      <w:sz w:val="24"/>
      <w:szCs w:val="24"/>
    </w:rPr>
  </w:style>
  <w:style w:type="character" w:customStyle="1" w:styleId="87">
    <w:name w:val="列表段落 字符"/>
    <w:link w:val="86"/>
    <w:qFormat/>
    <w:locked/>
    <w:uiPriority w:val="99"/>
    <w:rPr>
      <w:rFonts w:ascii="Times New Roman" w:hAnsi="Times New Roman" w:eastAsia="宋体" w:cs="Times New Roman"/>
      <w:sz w:val="24"/>
      <w:szCs w:val="24"/>
    </w:rPr>
  </w:style>
  <w:style w:type="paragraph" w:customStyle="1" w:styleId="88">
    <w:name w:val="Char Char Char Char Char Char Char Char Char Char Char Char Char Char1 Char Char Char Char"/>
    <w:basedOn w:val="1"/>
    <w:qFormat/>
    <w:uiPriority w:val="99"/>
  </w:style>
  <w:style w:type="paragraph" w:customStyle="1" w:styleId="89">
    <w:name w:val="修订1"/>
    <w:hidden/>
    <w:semiHidden/>
    <w:qFormat/>
    <w:uiPriority w:val="99"/>
    <w:rPr>
      <w:rFonts w:ascii="Times New Roman" w:hAnsi="Times New Roman" w:eastAsia="宋体" w:cs="Times New Roman"/>
      <w:kern w:val="2"/>
      <w:sz w:val="21"/>
      <w:szCs w:val="21"/>
      <w:lang w:val="en-US" w:eastAsia="zh-CN" w:bidi="ar-SA"/>
    </w:rPr>
  </w:style>
  <w:style w:type="character" w:customStyle="1" w:styleId="90">
    <w:name w:val="font31"/>
    <w:basedOn w:val="43"/>
    <w:qFormat/>
    <w:uiPriority w:val="99"/>
    <w:rPr>
      <w:rFonts w:ascii="宋体" w:hAnsi="宋体" w:eastAsia="宋体" w:cs="宋体"/>
      <w:color w:val="000000"/>
      <w:sz w:val="21"/>
      <w:szCs w:val="21"/>
      <w:u w:val="none"/>
    </w:rPr>
  </w:style>
  <w:style w:type="character" w:customStyle="1" w:styleId="91">
    <w:name w:val="正文缩进 Char1"/>
    <w:qFormat/>
    <w:locked/>
    <w:uiPriority w:val="99"/>
    <w:rPr>
      <w:rFonts w:eastAsia="宋体"/>
      <w:kern w:val="2"/>
      <w:sz w:val="24"/>
      <w:szCs w:val="24"/>
      <w:lang w:val="en-US" w:eastAsia="zh-CN"/>
    </w:rPr>
  </w:style>
  <w:style w:type="paragraph" w:customStyle="1" w:styleId="92">
    <w:name w:val="Plain Text1"/>
    <w:basedOn w:val="1"/>
    <w:qFormat/>
    <w:uiPriority w:val="99"/>
    <w:pPr>
      <w:adjustRightInd w:val="0"/>
      <w:jc w:val="left"/>
      <w:textAlignment w:val="baseline"/>
    </w:pPr>
    <w:rPr>
      <w:rFonts w:ascii="宋体" w:hAnsi="Courier New" w:cs="宋体"/>
      <w:sz w:val="24"/>
      <w:szCs w:val="24"/>
    </w:rPr>
  </w:style>
  <w:style w:type="character" w:customStyle="1" w:styleId="93">
    <w:name w:val="Char Char3"/>
    <w:qFormat/>
    <w:uiPriority w:val="99"/>
    <w:rPr>
      <w:rFonts w:ascii="Arial" w:hAnsi="Arial" w:eastAsia="黑体" w:cs="Arial"/>
      <w:b/>
      <w:bCs/>
      <w:kern w:val="2"/>
      <w:sz w:val="32"/>
      <w:szCs w:val="32"/>
      <w:lang w:val="en-US" w:eastAsia="zh-CN"/>
    </w:rPr>
  </w:style>
  <w:style w:type="character" w:customStyle="1" w:styleId="94">
    <w:name w:val="Char Char Char"/>
    <w:link w:val="95"/>
    <w:qFormat/>
    <w:locked/>
    <w:uiPriority w:val="99"/>
    <w:rPr>
      <w:rFonts w:ascii="Arial" w:hAnsi="Arial" w:eastAsia="黑体" w:cs="Arial"/>
      <w:b/>
      <w:bCs/>
      <w:kern w:val="2"/>
      <w:sz w:val="32"/>
      <w:szCs w:val="32"/>
    </w:rPr>
  </w:style>
  <w:style w:type="paragraph" w:customStyle="1" w:styleId="95">
    <w:name w:val="Char"/>
    <w:basedOn w:val="1"/>
    <w:link w:val="94"/>
    <w:qFormat/>
    <w:uiPriority w:val="99"/>
    <w:rPr>
      <w:rFonts w:ascii="Arial" w:hAnsi="Arial" w:eastAsia="黑体" w:cs="Arial"/>
      <w:b/>
      <w:bCs/>
      <w:sz w:val="32"/>
      <w:szCs w:val="32"/>
    </w:rPr>
  </w:style>
  <w:style w:type="character" w:customStyle="1" w:styleId="96">
    <w:name w:val="无间距字符"/>
    <w:link w:val="97"/>
    <w:qFormat/>
    <w:locked/>
    <w:uiPriority w:val="99"/>
    <w:rPr>
      <w:rFonts w:ascii="Calibri" w:hAnsi="Calibri" w:cs="Calibri"/>
      <w:sz w:val="22"/>
      <w:szCs w:val="22"/>
      <w:lang w:val="en-US" w:eastAsia="zh-CN"/>
    </w:rPr>
  </w:style>
  <w:style w:type="paragraph" w:customStyle="1" w:styleId="97">
    <w:name w:val="无间距"/>
    <w:link w:val="96"/>
    <w:qFormat/>
    <w:uiPriority w:val="99"/>
    <w:rPr>
      <w:rFonts w:ascii="Calibri" w:hAnsi="Calibri" w:eastAsia="宋体" w:cs="Calibri"/>
      <w:sz w:val="22"/>
      <w:szCs w:val="22"/>
      <w:lang w:val="en-US" w:eastAsia="zh-CN" w:bidi="ar-SA"/>
    </w:rPr>
  </w:style>
  <w:style w:type="character" w:customStyle="1" w:styleId="98">
    <w:name w:val="tdrownotice1"/>
    <w:qFormat/>
    <w:uiPriority w:val="99"/>
    <w:rPr>
      <w:sz w:val="22"/>
      <w:szCs w:val="22"/>
    </w:rPr>
  </w:style>
  <w:style w:type="character" w:customStyle="1" w:styleId="99">
    <w:name w:val="页眉 Char1"/>
    <w:basedOn w:val="43"/>
    <w:semiHidden/>
    <w:qFormat/>
    <w:uiPriority w:val="99"/>
    <w:rPr>
      <w:kern w:val="2"/>
      <w:sz w:val="18"/>
      <w:szCs w:val="18"/>
    </w:rPr>
  </w:style>
  <w:style w:type="character" w:customStyle="1" w:styleId="100">
    <w:name w:val="正文文本缩进 Char1"/>
    <w:basedOn w:val="43"/>
    <w:semiHidden/>
    <w:qFormat/>
    <w:uiPriority w:val="99"/>
    <w:rPr>
      <w:kern w:val="2"/>
      <w:sz w:val="21"/>
      <w:szCs w:val="21"/>
    </w:rPr>
  </w:style>
  <w:style w:type="character" w:customStyle="1" w:styleId="101">
    <w:name w:val="批注主题 Char1"/>
    <w:basedOn w:val="60"/>
    <w:qFormat/>
    <w:uiPriority w:val="99"/>
    <w:rPr>
      <w:rFonts w:ascii="Times New Roman" w:hAnsi="Times New Roman" w:eastAsia="宋体" w:cs="Times New Roman"/>
      <w:b/>
      <w:bCs/>
      <w:kern w:val="2"/>
      <w:sz w:val="24"/>
      <w:szCs w:val="24"/>
    </w:rPr>
  </w:style>
  <w:style w:type="character" w:customStyle="1" w:styleId="102">
    <w:name w:val="标题 字符"/>
    <w:basedOn w:val="43"/>
    <w:link w:val="38"/>
    <w:qFormat/>
    <w:locked/>
    <w:uiPriority w:val="99"/>
    <w:rPr>
      <w:rFonts w:ascii="Cambria" w:hAnsi="Cambria" w:cs="Cambria"/>
      <w:b/>
      <w:bCs/>
      <w:sz w:val="32"/>
      <w:szCs w:val="32"/>
    </w:rPr>
  </w:style>
  <w:style w:type="character" w:customStyle="1" w:styleId="103">
    <w:name w:val="标题 Char1"/>
    <w:basedOn w:val="43"/>
    <w:qFormat/>
    <w:uiPriority w:val="99"/>
    <w:rPr>
      <w:rFonts w:ascii="Cambria" w:hAnsi="Cambria" w:eastAsia="宋体" w:cs="Cambria"/>
      <w:b/>
      <w:bCs/>
      <w:kern w:val="2"/>
      <w:sz w:val="32"/>
      <w:szCs w:val="32"/>
    </w:rPr>
  </w:style>
  <w:style w:type="character" w:customStyle="1" w:styleId="104">
    <w:name w:val="页脚 Char1"/>
    <w:basedOn w:val="43"/>
    <w:semiHidden/>
    <w:qFormat/>
    <w:uiPriority w:val="99"/>
    <w:rPr>
      <w:kern w:val="2"/>
      <w:sz w:val="18"/>
      <w:szCs w:val="18"/>
    </w:rPr>
  </w:style>
  <w:style w:type="paragraph" w:customStyle="1" w:styleId="105">
    <w:name w:val="Char1"/>
    <w:basedOn w:val="1"/>
    <w:qFormat/>
    <w:uiPriority w:val="99"/>
  </w:style>
  <w:style w:type="paragraph" w:customStyle="1" w:styleId="106">
    <w:name w:val="样式 标题 2 + Times New Roman 四号 非加粗 段前: 5 磅 段后: 0 磅 行距: 固定值 20..."/>
    <w:basedOn w:val="4"/>
    <w:qFormat/>
    <w:uiPriority w:val="99"/>
    <w:pPr>
      <w:spacing w:before="100" w:after="0" w:line="400" w:lineRule="exact"/>
    </w:pPr>
    <w:rPr>
      <w:rFonts w:ascii="Times New Roman" w:hAnsi="Times New Roman" w:cs="Times New Roman"/>
      <w:b w:val="0"/>
      <w:bCs w:val="0"/>
      <w:sz w:val="28"/>
      <w:szCs w:val="28"/>
    </w:rPr>
  </w:style>
  <w:style w:type="paragraph" w:customStyle="1" w:styleId="107">
    <w:name w:val="样式 首行缩进:  2 字符1"/>
    <w:basedOn w:val="1"/>
    <w:qFormat/>
    <w:uiPriority w:val="99"/>
    <w:pPr>
      <w:spacing w:line="400" w:lineRule="exact"/>
      <w:ind w:firstLine="200" w:firstLineChars="200"/>
    </w:pPr>
    <w:rPr>
      <w:sz w:val="24"/>
      <w:szCs w:val="24"/>
    </w:rPr>
  </w:style>
  <w:style w:type="paragraph" w:customStyle="1" w:styleId="108">
    <w:name w:val="Char2"/>
    <w:basedOn w:val="1"/>
    <w:qFormat/>
    <w:uiPriority w:val="99"/>
  </w:style>
  <w:style w:type="paragraph" w:customStyle="1" w:styleId="109">
    <w:name w:val="Char Char Char Char Char Char Char"/>
    <w:basedOn w:val="1"/>
    <w:qFormat/>
    <w:uiPriority w:val="99"/>
  </w:style>
  <w:style w:type="paragraph" w:customStyle="1" w:styleId="110">
    <w:name w:val="bf.1"/>
    <w:basedOn w:val="13"/>
    <w:qFormat/>
    <w:uiPriority w:val="99"/>
    <w:pPr>
      <w:autoSpaceDE w:val="0"/>
      <w:autoSpaceDN w:val="0"/>
      <w:adjustRightInd w:val="0"/>
      <w:spacing w:before="50" w:after="100" w:line="500" w:lineRule="exact"/>
      <w:ind w:firstLine="0" w:firstLineChars="0"/>
    </w:pPr>
    <w:rPr>
      <w:rFonts w:ascii="仿宋_GB2312" w:hAnsi="宋体" w:eastAsia="仿宋_GB2312" w:cs="仿宋_GB2312"/>
      <w:color w:val="000000"/>
    </w:rPr>
  </w:style>
  <w:style w:type="paragraph" w:customStyle="1" w:styleId="111">
    <w:name w:val="第一章"/>
    <w:basedOn w:val="1"/>
    <w:next w:val="1"/>
    <w:qFormat/>
    <w:uiPriority w:val="99"/>
    <w:pPr>
      <w:tabs>
        <w:tab w:val="left" w:pos="0"/>
      </w:tabs>
      <w:spacing w:line="360" w:lineRule="auto"/>
      <w:ind w:hanging="500" w:hangingChars="500"/>
    </w:pPr>
    <w:rPr>
      <w:rFonts w:eastAsia="黑体"/>
      <w:sz w:val="44"/>
      <w:szCs w:val="44"/>
    </w:rPr>
  </w:style>
  <w:style w:type="paragraph" w:customStyle="1" w:styleId="112">
    <w:name w:val="blockquote"/>
    <w:basedOn w:val="1"/>
    <w:qFormat/>
    <w:uiPriority w:val="99"/>
    <w:pPr>
      <w:widowControl/>
      <w:spacing w:before="100" w:beforeAutospacing="1" w:after="100" w:afterAutospacing="1"/>
    </w:pPr>
    <w:rPr>
      <w:rFonts w:ascii="宋体" w:hAnsi="宋体" w:cs="宋体"/>
      <w:kern w:val="0"/>
      <w:sz w:val="24"/>
      <w:szCs w:val="24"/>
    </w:rPr>
  </w:style>
  <w:style w:type="paragraph" w:customStyle="1" w:styleId="113">
    <w:name w:val="样式1"/>
    <w:basedOn w:val="3"/>
    <w:qFormat/>
    <w:uiPriority w:val="99"/>
    <w:pPr>
      <w:spacing w:line="576" w:lineRule="auto"/>
    </w:pPr>
  </w:style>
  <w:style w:type="paragraph" w:customStyle="1" w:styleId="114">
    <w:name w:val="Char Char1 Char"/>
    <w:basedOn w:val="1"/>
    <w:qFormat/>
    <w:uiPriority w:val="99"/>
  </w:style>
  <w:style w:type="paragraph" w:customStyle="1" w:styleId="115">
    <w:name w:val="Char Char Char Char"/>
    <w:basedOn w:val="1"/>
    <w:qFormat/>
    <w:uiPriority w:val="99"/>
  </w:style>
  <w:style w:type="paragraph" w:customStyle="1" w:styleId="116">
    <w:name w:val="样式3"/>
    <w:basedOn w:val="3"/>
    <w:qFormat/>
    <w:uiPriority w:val="99"/>
    <w:pPr>
      <w:spacing w:line="576" w:lineRule="auto"/>
    </w:pPr>
  </w:style>
  <w:style w:type="paragraph" w:customStyle="1" w:styleId="117">
    <w:name w:val="p0"/>
    <w:basedOn w:val="1"/>
    <w:qFormat/>
    <w:uiPriority w:val="99"/>
    <w:pPr>
      <w:widowControl/>
    </w:pPr>
    <w:rPr>
      <w:kern w:val="0"/>
    </w:rPr>
  </w:style>
  <w:style w:type="paragraph" w:customStyle="1" w:styleId="118">
    <w:name w:val="Char Char Char Char Char Char Char Char Char Char Char Char Char"/>
    <w:basedOn w:val="1"/>
    <w:qFormat/>
    <w:uiPriority w:val="99"/>
    <w:pPr>
      <w:widowControl/>
      <w:spacing w:after="160" w:line="240" w:lineRule="exact"/>
      <w:jc w:val="left"/>
    </w:pPr>
  </w:style>
  <w:style w:type="paragraph" w:customStyle="1" w:styleId="119">
    <w:name w:val="样式2"/>
    <w:basedOn w:val="1"/>
    <w:qFormat/>
    <w:uiPriority w:val="99"/>
    <w:pPr>
      <w:ind w:firstLine="420" w:firstLineChars="150"/>
    </w:pPr>
    <w:rPr>
      <w:sz w:val="24"/>
      <w:szCs w:val="24"/>
      <w:lang w:val="en-GB"/>
    </w:rPr>
  </w:style>
  <w:style w:type="paragraph" w:customStyle="1" w:styleId="120">
    <w:name w:val="Blockquote"/>
    <w:basedOn w:val="1"/>
    <w:qFormat/>
    <w:uiPriority w:val="99"/>
    <w:pPr>
      <w:autoSpaceDE w:val="0"/>
      <w:autoSpaceDN w:val="0"/>
      <w:adjustRightInd w:val="0"/>
      <w:spacing w:before="100" w:after="100"/>
      <w:ind w:left="360"/>
    </w:pPr>
    <w:rPr>
      <w:kern w:val="0"/>
      <w:sz w:val="24"/>
      <w:szCs w:val="24"/>
    </w:rPr>
  </w:style>
  <w:style w:type="paragraph" w:customStyle="1" w:styleId="121">
    <w:name w:val="Char1 Char Char Char"/>
    <w:basedOn w:val="1"/>
    <w:qFormat/>
    <w:uiPriority w:val="99"/>
  </w:style>
  <w:style w:type="character" w:customStyle="1" w:styleId="122">
    <w:name w:val="正文文本 Char1"/>
    <w:qFormat/>
    <w:uiPriority w:val="99"/>
    <w:rPr>
      <w:kern w:val="2"/>
      <w:sz w:val="22"/>
      <w:szCs w:val="22"/>
    </w:rPr>
  </w:style>
  <w:style w:type="character" w:customStyle="1" w:styleId="123">
    <w:name w:val="Intense Quote Char"/>
    <w:qFormat/>
    <w:locked/>
    <w:uiPriority w:val="99"/>
    <w:rPr>
      <w:b/>
      <w:bCs/>
      <w:i/>
      <w:iCs/>
      <w:color w:val="4F81BD"/>
      <w:kern w:val="2"/>
      <w:sz w:val="22"/>
      <w:szCs w:val="22"/>
    </w:rPr>
  </w:style>
  <w:style w:type="character" w:customStyle="1" w:styleId="124">
    <w:name w:val="Subtle Emphasis1"/>
    <w:basedOn w:val="43"/>
    <w:qFormat/>
    <w:uiPriority w:val="99"/>
    <w:rPr>
      <w:i/>
      <w:iCs/>
      <w:color w:val="808080"/>
    </w:rPr>
  </w:style>
  <w:style w:type="character" w:customStyle="1" w:styleId="125">
    <w:name w:val="标题4 Char Char"/>
    <w:link w:val="126"/>
    <w:qFormat/>
    <w:locked/>
    <w:uiPriority w:val="99"/>
    <w:rPr>
      <w:rFonts w:ascii="Arial" w:hAnsi="Arial" w:cs="Arial"/>
      <w:b/>
      <w:bCs/>
      <w:sz w:val="32"/>
      <w:szCs w:val="32"/>
    </w:rPr>
  </w:style>
  <w:style w:type="paragraph" w:customStyle="1" w:styleId="126">
    <w:name w:val="标题4"/>
    <w:basedOn w:val="4"/>
    <w:next w:val="20"/>
    <w:link w:val="125"/>
    <w:qFormat/>
    <w:uiPriority w:val="99"/>
    <w:pPr>
      <w:spacing w:line="413" w:lineRule="auto"/>
    </w:pPr>
    <w:rPr>
      <w:rFonts w:eastAsia="宋体"/>
      <w:kern w:val="0"/>
    </w:rPr>
  </w:style>
  <w:style w:type="character" w:customStyle="1" w:styleId="127">
    <w:name w:val="标题5 Char Char"/>
    <w:link w:val="128"/>
    <w:qFormat/>
    <w:locked/>
    <w:uiPriority w:val="99"/>
    <w:rPr>
      <w:rFonts w:ascii="Arial" w:hAnsi="Arial" w:cs="Arial"/>
      <w:b/>
      <w:bCs/>
      <w:sz w:val="32"/>
      <w:szCs w:val="32"/>
    </w:rPr>
  </w:style>
  <w:style w:type="paragraph" w:customStyle="1" w:styleId="128">
    <w:name w:val="标题5"/>
    <w:basedOn w:val="5"/>
    <w:link w:val="127"/>
    <w:qFormat/>
    <w:uiPriority w:val="99"/>
    <w:pPr>
      <w:spacing w:line="413" w:lineRule="auto"/>
    </w:pPr>
    <w:rPr>
      <w:rFonts w:ascii="Arial" w:hAnsi="Arial" w:cs="Arial"/>
      <w:kern w:val="0"/>
    </w:rPr>
  </w:style>
  <w:style w:type="character" w:customStyle="1" w:styleId="129">
    <w:name w:val="Intense Reference1"/>
    <w:basedOn w:val="43"/>
    <w:qFormat/>
    <w:uiPriority w:val="99"/>
    <w:rPr>
      <w:b/>
      <w:bCs/>
      <w:smallCaps/>
      <w:color w:val="auto"/>
      <w:spacing w:val="5"/>
      <w:u w:val="single"/>
    </w:rPr>
  </w:style>
  <w:style w:type="character" w:customStyle="1" w:styleId="130">
    <w:name w:val="Book Title1"/>
    <w:basedOn w:val="43"/>
    <w:qFormat/>
    <w:uiPriority w:val="99"/>
    <w:rPr>
      <w:b/>
      <w:bCs/>
      <w:smallCaps/>
      <w:spacing w:val="5"/>
    </w:rPr>
  </w:style>
  <w:style w:type="character" w:customStyle="1" w:styleId="131">
    <w:name w:val="批注框文本 Char1"/>
    <w:qFormat/>
    <w:uiPriority w:val="99"/>
    <w:rPr>
      <w:kern w:val="2"/>
      <w:sz w:val="18"/>
      <w:szCs w:val="18"/>
    </w:rPr>
  </w:style>
  <w:style w:type="character" w:customStyle="1" w:styleId="132">
    <w:name w:val="Quote Char"/>
    <w:qFormat/>
    <w:locked/>
    <w:uiPriority w:val="99"/>
    <w:rPr>
      <w:i/>
      <w:iCs/>
      <w:color w:val="000000"/>
      <w:kern w:val="2"/>
      <w:sz w:val="22"/>
      <w:szCs w:val="22"/>
    </w:rPr>
  </w:style>
  <w:style w:type="character" w:customStyle="1" w:styleId="133">
    <w:name w:val="日期 Char1"/>
    <w:qFormat/>
    <w:uiPriority w:val="99"/>
    <w:rPr>
      <w:kern w:val="2"/>
      <w:sz w:val="22"/>
      <w:szCs w:val="22"/>
    </w:rPr>
  </w:style>
  <w:style w:type="character" w:customStyle="1" w:styleId="134">
    <w:name w:val="Intense Emphasis1"/>
    <w:basedOn w:val="43"/>
    <w:qFormat/>
    <w:uiPriority w:val="99"/>
    <w:rPr>
      <w:b/>
      <w:bCs/>
      <w:i/>
      <w:iCs/>
      <w:color w:val="4F81BD"/>
    </w:rPr>
  </w:style>
  <w:style w:type="character" w:customStyle="1" w:styleId="135">
    <w:name w:val="textcontents"/>
    <w:qFormat/>
    <w:uiPriority w:val="99"/>
  </w:style>
  <w:style w:type="character" w:customStyle="1" w:styleId="136">
    <w:name w:val="Subtle Reference1"/>
    <w:basedOn w:val="43"/>
    <w:qFormat/>
    <w:uiPriority w:val="99"/>
    <w:rPr>
      <w:smallCaps/>
      <w:color w:val="auto"/>
      <w:u w:val="single"/>
    </w:rPr>
  </w:style>
  <w:style w:type="character" w:customStyle="1" w:styleId="137">
    <w:name w:val="批注文字 Char Char"/>
    <w:qFormat/>
    <w:uiPriority w:val="99"/>
    <w:rPr>
      <w:rFonts w:ascii="宋体" w:hAnsi="Times New Roman" w:eastAsia="宋体" w:cs="宋体"/>
      <w:sz w:val="20"/>
      <w:szCs w:val="20"/>
    </w:rPr>
  </w:style>
  <w:style w:type="character" w:customStyle="1" w:styleId="138">
    <w:name w:val="文档结构图 Char1"/>
    <w:qFormat/>
    <w:uiPriority w:val="99"/>
    <w:rPr>
      <w:rFonts w:ascii="宋体" w:cs="宋体"/>
      <w:kern w:val="2"/>
      <w:sz w:val="18"/>
      <w:szCs w:val="18"/>
    </w:rPr>
  </w:style>
  <w:style w:type="paragraph" w:customStyle="1" w:styleId="139">
    <w:name w:val="Revision1"/>
    <w:qFormat/>
    <w:uiPriority w:val="99"/>
    <w:rPr>
      <w:rFonts w:ascii="Times New Roman" w:hAnsi="Times New Roman" w:eastAsia="宋体" w:cs="Times New Roman"/>
      <w:kern w:val="2"/>
      <w:sz w:val="21"/>
      <w:szCs w:val="21"/>
      <w:lang w:val="en-US" w:eastAsia="zh-CN" w:bidi="ar-SA"/>
    </w:rPr>
  </w:style>
  <w:style w:type="character" w:customStyle="1" w:styleId="140">
    <w:name w:val="批注框文本 Char2"/>
    <w:semiHidden/>
    <w:qFormat/>
    <w:uiPriority w:val="99"/>
    <w:rPr>
      <w:kern w:val="2"/>
      <w:sz w:val="18"/>
      <w:szCs w:val="18"/>
    </w:rPr>
  </w:style>
  <w:style w:type="character" w:customStyle="1" w:styleId="141">
    <w:name w:val="批注主题 Char2"/>
    <w:semiHidden/>
    <w:qFormat/>
    <w:uiPriority w:val="99"/>
    <w:rPr>
      <w:b/>
      <w:bCs/>
      <w:kern w:val="2"/>
      <w:sz w:val="22"/>
      <w:szCs w:val="22"/>
    </w:rPr>
  </w:style>
  <w:style w:type="character" w:customStyle="1" w:styleId="142">
    <w:name w:val="文档结构图 Char2"/>
    <w:semiHidden/>
    <w:qFormat/>
    <w:uiPriority w:val="99"/>
    <w:rPr>
      <w:rFonts w:ascii="宋体" w:cs="宋体"/>
      <w:kern w:val="2"/>
      <w:sz w:val="18"/>
      <w:szCs w:val="18"/>
    </w:rPr>
  </w:style>
  <w:style w:type="character" w:customStyle="1" w:styleId="143">
    <w:name w:val="日期 Char2"/>
    <w:semiHidden/>
    <w:qFormat/>
    <w:uiPriority w:val="99"/>
    <w:rPr>
      <w:kern w:val="2"/>
      <w:sz w:val="22"/>
      <w:szCs w:val="22"/>
    </w:rPr>
  </w:style>
  <w:style w:type="character" w:customStyle="1" w:styleId="144">
    <w:name w:val="正文文本 Char2"/>
    <w:basedOn w:val="43"/>
    <w:semiHidden/>
    <w:qFormat/>
    <w:uiPriority w:val="99"/>
    <w:rPr>
      <w:kern w:val="2"/>
      <w:sz w:val="21"/>
      <w:szCs w:val="21"/>
    </w:rPr>
  </w:style>
  <w:style w:type="paragraph" w:customStyle="1" w:styleId="145">
    <w:name w:val="TOC Heading1"/>
    <w:basedOn w:val="3"/>
    <w:next w:val="1"/>
    <w:qFormat/>
    <w:uiPriority w:val="99"/>
    <w:pPr>
      <w:spacing w:line="576" w:lineRule="auto"/>
      <w:outlineLvl w:val="9"/>
    </w:pPr>
    <w:rPr>
      <w:rFonts w:ascii="Calibri" w:hAnsi="Calibri" w:cs="Calibri"/>
    </w:rPr>
  </w:style>
  <w:style w:type="character" w:customStyle="1" w:styleId="146">
    <w:name w:val="副标题 字符"/>
    <w:basedOn w:val="43"/>
    <w:link w:val="31"/>
    <w:qFormat/>
    <w:locked/>
    <w:uiPriority w:val="99"/>
    <w:rPr>
      <w:rFonts w:ascii="Cambria" w:hAnsi="Cambria" w:cs="Cambria"/>
      <w:b/>
      <w:bCs/>
      <w:kern w:val="28"/>
      <w:sz w:val="32"/>
      <w:szCs w:val="32"/>
    </w:rPr>
  </w:style>
  <w:style w:type="character" w:customStyle="1" w:styleId="147">
    <w:name w:val="副标题 Char1"/>
    <w:basedOn w:val="43"/>
    <w:qFormat/>
    <w:uiPriority w:val="99"/>
    <w:rPr>
      <w:rFonts w:ascii="Cambria" w:hAnsi="Cambria" w:eastAsia="宋体" w:cs="Cambria"/>
      <w:b/>
      <w:bCs/>
      <w:kern w:val="28"/>
      <w:sz w:val="32"/>
      <w:szCs w:val="32"/>
    </w:rPr>
  </w:style>
  <w:style w:type="paragraph" w:styleId="148">
    <w:name w:val="Intense Quote"/>
    <w:basedOn w:val="1"/>
    <w:next w:val="1"/>
    <w:link w:val="149"/>
    <w:qFormat/>
    <w:uiPriority w:val="99"/>
    <w:pPr>
      <w:pBdr>
        <w:bottom w:val="single" w:color="4F81BD" w:sz="4" w:space="4"/>
      </w:pBdr>
      <w:spacing w:before="200" w:after="280"/>
      <w:ind w:left="936" w:right="936"/>
    </w:pPr>
    <w:rPr>
      <w:rFonts w:ascii="Calibri" w:hAnsi="Calibri" w:cs="Calibri"/>
      <w:b/>
      <w:bCs/>
      <w:i/>
      <w:iCs/>
      <w:color w:val="4F81BD"/>
      <w:sz w:val="22"/>
      <w:szCs w:val="22"/>
    </w:rPr>
  </w:style>
  <w:style w:type="character" w:customStyle="1" w:styleId="149">
    <w:name w:val="明显引用 字符"/>
    <w:basedOn w:val="43"/>
    <w:link w:val="148"/>
    <w:qFormat/>
    <w:locked/>
    <w:uiPriority w:val="99"/>
    <w:rPr>
      <w:rFonts w:ascii="Times New Roman" w:hAnsi="Times New Roman" w:cs="Times New Roman"/>
      <w:b/>
      <w:bCs/>
      <w:i/>
      <w:iCs/>
      <w:color w:val="4F81BD"/>
      <w:sz w:val="21"/>
      <w:szCs w:val="21"/>
    </w:rPr>
  </w:style>
  <w:style w:type="character" w:customStyle="1" w:styleId="150">
    <w:name w:val="明显引用 Char1"/>
    <w:basedOn w:val="43"/>
    <w:qFormat/>
    <w:uiPriority w:val="99"/>
    <w:rPr>
      <w:rFonts w:ascii="Times New Roman" w:hAnsi="Times New Roman" w:eastAsia="宋体" w:cs="Times New Roman"/>
      <w:b/>
      <w:bCs/>
      <w:i/>
      <w:iCs/>
      <w:color w:val="4F81BD"/>
      <w:kern w:val="2"/>
      <w:sz w:val="24"/>
      <w:szCs w:val="24"/>
    </w:rPr>
  </w:style>
  <w:style w:type="paragraph" w:customStyle="1" w:styleId="151">
    <w:name w:val="样式 标题 3 + (中文) 黑体 小四 非加粗 段前: 7.8 磅 段后: 0 磅 行距: 固定值 20 磅"/>
    <w:basedOn w:val="5"/>
    <w:qFormat/>
    <w:uiPriority w:val="99"/>
    <w:pPr>
      <w:spacing w:before="0" w:after="0" w:line="400" w:lineRule="exact"/>
    </w:pPr>
    <w:rPr>
      <w:rFonts w:eastAsia="黑体"/>
      <w:b w:val="0"/>
      <w:bCs w:val="0"/>
      <w:sz w:val="24"/>
      <w:szCs w:val="24"/>
    </w:rPr>
  </w:style>
  <w:style w:type="paragraph" w:customStyle="1" w:styleId="152">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styleId="153">
    <w:name w:val="No Spacing"/>
    <w:qFormat/>
    <w:uiPriority w:val="99"/>
    <w:pPr>
      <w:widowControl w:val="0"/>
      <w:jc w:val="both"/>
    </w:pPr>
    <w:rPr>
      <w:rFonts w:ascii="Calibri" w:hAnsi="Calibri" w:eastAsia="宋体" w:cs="Calibri"/>
      <w:kern w:val="2"/>
      <w:sz w:val="21"/>
      <w:szCs w:val="21"/>
      <w:lang w:val="en-US" w:eastAsia="zh-CN" w:bidi="ar-SA"/>
    </w:rPr>
  </w:style>
  <w:style w:type="paragraph" w:styleId="154">
    <w:name w:val="Quote"/>
    <w:basedOn w:val="1"/>
    <w:next w:val="1"/>
    <w:link w:val="155"/>
    <w:qFormat/>
    <w:uiPriority w:val="99"/>
    <w:rPr>
      <w:rFonts w:ascii="Calibri" w:hAnsi="Calibri" w:cs="Calibri"/>
      <w:i/>
      <w:iCs/>
      <w:color w:val="000000"/>
      <w:sz w:val="22"/>
      <w:szCs w:val="22"/>
    </w:rPr>
  </w:style>
  <w:style w:type="character" w:customStyle="1" w:styleId="155">
    <w:name w:val="引用 字符"/>
    <w:basedOn w:val="43"/>
    <w:link w:val="154"/>
    <w:qFormat/>
    <w:locked/>
    <w:uiPriority w:val="99"/>
    <w:rPr>
      <w:rFonts w:ascii="Times New Roman" w:hAnsi="Times New Roman" w:cs="Times New Roman"/>
      <w:i/>
      <w:iCs/>
      <w:color w:val="000000"/>
      <w:sz w:val="21"/>
      <w:szCs w:val="21"/>
    </w:rPr>
  </w:style>
  <w:style w:type="character" w:customStyle="1" w:styleId="156">
    <w:name w:val="引用 Char1"/>
    <w:basedOn w:val="43"/>
    <w:qFormat/>
    <w:uiPriority w:val="99"/>
    <w:rPr>
      <w:rFonts w:ascii="Times New Roman" w:hAnsi="Times New Roman" w:eastAsia="宋体" w:cs="Times New Roman"/>
      <w:i/>
      <w:iCs/>
      <w:color w:val="000000"/>
      <w:kern w:val="2"/>
      <w:sz w:val="24"/>
      <w:szCs w:val="24"/>
    </w:rPr>
  </w:style>
  <w:style w:type="paragraph" w:customStyle="1" w:styleId="157">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customStyle="1" w:styleId="158">
    <w:name w:val="CD正文"/>
    <w:basedOn w:val="1"/>
    <w:qFormat/>
    <w:uiPriority w:val="99"/>
    <w:pPr>
      <w:spacing w:line="360" w:lineRule="auto"/>
      <w:ind w:firstLine="493"/>
    </w:pPr>
    <w:rPr>
      <w:sz w:val="30"/>
      <w:szCs w:val="30"/>
    </w:rPr>
  </w:style>
  <w:style w:type="paragraph" w:customStyle="1" w:styleId="159">
    <w:name w:val="标题 5（有编号）（绿盟科技）"/>
    <w:basedOn w:val="1"/>
    <w:next w:val="160"/>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160">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161">
    <w:name w:val="WPSOffice手动目录 1"/>
    <w:qFormat/>
    <w:uiPriority w:val="0"/>
    <w:rPr>
      <w:rFonts w:ascii="Times New Roman" w:hAnsi="Times New Roman" w:eastAsia="宋体" w:cs="Times New Roman"/>
      <w:lang w:val="en-US" w:eastAsia="zh-CN" w:bidi="ar-SA"/>
    </w:rPr>
  </w:style>
  <w:style w:type="character" w:customStyle="1" w:styleId="162">
    <w:name w:val="font41"/>
    <w:basedOn w:val="43"/>
    <w:qFormat/>
    <w:uiPriority w:val="0"/>
    <w:rPr>
      <w:rFonts w:hint="default" w:ascii="Eʩ" w:hAnsi="Eʩ" w:eastAsia="Eʩ" w:cs="Eʩ"/>
      <w:color w:val="000000"/>
      <w:sz w:val="21"/>
      <w:szCs w:val="21"/>
      <w:u w:val="single"/>
    </w:rPr>
  </w:style>
  <w:style w:type="character" w:customStyle="1" w:styleId="163">
    <w:name w:val="font51"/>
    <w:basedOn w:val="43"/>
    <w:qFormat/>
    <w:uiPriority w:val="0"/>
    <w:rPr>
      <w:rFonts w:hint="eastAsia" w:ascii="宋体" w:hAnsi="宋体" w:eastAsia="宋体" w:cs="宋体"/>
      <w:color w:val="000000"/>
      <w:sz w:val="21"/>
      <w:szCs w:val="21"/>
      <w:u w:val="single"/>
    </w:rPr>
  </w:style>
  <w:style w:type="paragraph" w:customStyle="1" w:styleId="164">
    <w:name w:val="Revision"/>
    <w:hidden/>
    <w:unhideWhenUsed/>
    <w:qFormat/>
    <w:uiPriority w:val="99"/>
    <w:rPr>
      <w:rFonts w:ascii="Times New Roman" w:hAnsi="Times New Roman" w:eastAsia="宋体" w:cs="Times New Roman"/>
      <w:kern w:val="2"/>
      <w:sz w:val="21"/>
      <w:szCs w:val="21"/>
      <w:lang w:val="en-US" w:eastAsia="zh-CN" w:bidi="ar-SA"/>
    </w:rPr>
  </w:style>
  <w:style w:type="character" w:customStyle="1" w:styleId="165">
    <w:name w:val="font21"/>
    <w:basedOn w:val="43"/>
    <w:qFormat/>
    <w:uiPriority w:val="0"/>
    <w:rPr>
      <w:rFonts w:hint="eastAsia" w:ascii="宋体" w:hAnsi="宋体" w:eastAsia="宋体" w:cs="宋体"/>
      <w:color w:val="000000"/>
      <w:sz w:val="32"/>
      <w:szCs w:val="32"/>
      <w:u w:val="none"/>
    </w:rPr>
  </w:style>
  <w:style w:type="character" w:customStyle="1" w:styleId="166">
    <w:name w:val="font112"/>
    <w:basedOn w:val="43"/>
    <w:qFormat/>
    <w:uiPriority w:val="0"/>
    <w:rPr>
      <w:rFonts w:ascii="Calibri" w:hAnsi="Calibri" w:cs="Calibri"/>
      <w:color w:val="000000"/>
      <w:sz w:val="32"/>
      <w:szCs w:val="3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7" Type="http://schemas.openxmlformats.org/officeDocument/2006/relationships/fontTable" Target="fontTable.xml"/><Relationship Id="rId106" Type="http://schemas.openxmlformats.org/officeDocument/2006/relationships/numbering" Target="numbering.xml"/><Relationship Id="rId105" Type="http://schemas.openxmlformats.org/officeDocument/2006/relationships/customXml" Target="../customXml/item1.xml"/><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60</Pages>
  <Words>3159</Words>
  <Characters>18009</Characters>
  <Lines>150</Lines>
  <Paragraphs>42</Paragraphs>
  <TotalTime>7</TotalTime>
  <ScaleCrop>false</ScaleCrop>
  <LinksUpToDate>false</LinksUpToDate>
  <CharactersWithSpaces>21126</CharactersWithSpaces>
  <Application>WPS Office_11.8.2.11739_F1E327BC-269C-435d-A152-05C5408002CA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2020-06-07T08:32:00Z</dcterms:created>
  <dc:creator>刘春阳</dc:creator>
  <cp:lastModifiedBy>贾海容</cp:lastModifiedBy>
  <cp:lastPrinted>2023-06-27T13:40:00Z</cp:lastPrinted>
  <dcterms:modified xsi:type="dcterms:W3CDTF">2023-09-22T07:13:50Z</dcterms:modified>
  <cp:revision>234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2052-11.8.2.11739</vt:lpwstr>
  </property>
  <property fmtid="{D5CDD505-2E9C-101B-9397-08002B2CF9AE}" pid="3" name="ICV">
    <vt:lpwstr>505C184589864B7DAAE330FE01A921A3_13</vt:lpwstr>
  </property>
</Properties>
</file>