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2023年度都江堰灌区人民渠第一管理处</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lang w:val="en-US" w:eastAsia="zh-CN"/>
        </w:rPr>
        <w:t>防汛应急抢险项目监理</w:t>
      </w:r>
    </w:p>
    <w:p>
      <w:pPr>
        <w:tabs>
          <w:tab w:val="left" w:pos="2505"/>
          <w:tab w:val="center" w:pos="4204"/>
        </w:tabs>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竞</w:t>
      </w:r>
    </w:p>
    <w:p>
      <w:pPr>
        <w:jc w:val="center"/>
        <w:rPr>
          <w:rFonts w:ascii="宋体" w:hAnsi="宋体"/>
          <w:b/>
          <w:sz w:val="52"/>
          <w:szCs w:val="52"/>
        </w:rPr>
      </w:pPr>
      <w:r>
        <w:rPr>
          <w:rFonts w:hint="eastAsia" w:ascii="宋体" w:hAnsi="宋体"/>
          <w:b/>
          <w:sz w:val="52"/>
          <w:szCs w:val="52"/>
        </w:rPr>
        <w:t>争</w:t>
      </w:r>
    </w:p>
    <w:p>
      <w:pPr>
        <w:jc w:val="center"/>
        <w:rPr>
          <w:rFonts w:ascii="宋体" w:hAnsi="宋体"/>
          <w:b/>
          <w:sz w:val="52"/>
          <w:szCs w:val="52"/>
        </w:rPr>
      </w:pPr>
      <w:r>
        <w:rPr>
          <w:rFonts w:hint="eastAsia" w:ascii="宋体" w:hAnsi="宋体"/>
          <w:b/>
          <w:sz w:val="52"/>
          <w:szCs w:val="52"/>
        </w:rPr>
        <w:t>性</w:t>
      </w: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r>
        <w:rPr>
          <w:rFonts w:hint="eastAsia" w:ascii="宋体" w:hAnsi="宋体"/>
          <w:b/>
          <w:sz w:val="52"/>
          <w:szCs w:val="52"/>
        </w:rPr>
        <w:t>判</w:t>
      </w:r>
    </w:p>
    <w:p>
      <w:pPr>
        <w:jc w:val="center"/>
        <w:rPr>
          <w:rFonts w:ascii="宋体" w:hAnsi="宋体"/>
          <w:b/>
          <w:sz w:val="52"/>
          <w:szCs w:val="52"/>
        </w:rPr>
      </w:pPr>
      <w:r>
        <w:rPr>
          <w:rFonts w:hint="eastAsia" w:ascii="宋体" w:hAnsi="宋体"/>
          <w:b/>
          <w:sz w:val="52"/>
          <w:szCs w:val="52"/>
        </w:rPr>
        <w:t>文</w:t>
      </w:r>
    </w:p>
    <w:p>
      <w:pPr>
        <w:jc w:val="center"/>
        <w:rPr>
          <w:rFonts w:ascii="宋体" w:hAnsi="宋体"/>
          <w:b/>
          <w:sz w:val="32"/>
          <w:szCs w:val="32"/>
        </w:rPr>
      </w:pPr>
      <w:r>
        <w:rPr>
          <w:rFonts w:hint="eastAsia" w:ascii="宋体" w:hAnsi="宋体"/>
          <w:b/>
          <w:sz w:val="52"/>
          <w:szCs w:val="52"/>
        </w:rPr>
        <w:t>件</w:t>
      </w:r>
    </w:p>
    <w:p>
      <w:pPr>
        <w:pStyle w:val="48"/>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中国·四川</w:t>
      </w:r>
    </w:p>
    <w:p>
      <w:pPr>
        <w:spacing w:line="360" w:lineRule="auto"/>
        <w:jc w:val="center"/>
        <w:rPr>
          <w:rFonts w:ascii="宋体" w:hAnsi="宋体"/>
          <w:b/>
          <w:i w:val="0"/>
          <w:iCs w:val="0"/>
          <w:sz w:val="32"/>
          <w:szCs w:val="32"/>
          <w:u w:val="none"/>
        </w:rPr>
      </w:pPr>
      <w:r>
        <w:rPr>
          <w:rFonts w:ascii="宋体" w:hAnsi="宋体"/>
          <w:b/>
          <w:i w:val="0"/>
          <w:iCs w:val="0"/>
          <w:sz w:val="32"/>
          <w:szCs w:val="32"/>
          <w:u w:val="none"/>
        </w:rPr>
        <w:t xml:space="preserve"> </w:t>
      </w:r>
      <w:r>
        <w:rPr>
          <w:rFonts w:hint="eastAsia" w:ascii="宋体" w:hAnsi="宋体"/>
          <w:b/>
          <w:i w:val="0"/>
          <w:iCs w:val="0"/>
          <w:sz w:val="32"/>
          <w:szCs w:val="32"/>
          <w:u w:val="none"/>
          <w:lang w:val="en-US" w:eastAsia="zh-CN"/>
        </w:rPr>
        <w:t>四川省都江堰水利发展中心</w:t>
      </w:r>
      <w:r>
        <w:rPr>
          <w:rFonts w:ascii="宋体" w:hAnsi="宋体"/>
          <w:b/>
          <w:i w:val="0"/>
          <w:iCs w:val="0"/>
          <w:sz w:val="32"/>
          <w:szCs w:val="32"/>
          <w:u w:val="none"/>
        </w:rPr>
        <w:t xml:space="preserve"> </w:t>
      </w:r>
    </w:p>
    <w:p>
      <w:pPr>
        <w:spacing w:line="360" w:lineRule="auto"/>
        <w:jc w:val="center"/>
        <w:rPr>
          <w:rFonts w:ascii="宋体" w:hAnsi="宋体"/>
          <w:i w:val="0"/>
          <w:iCs w:val="0"/>
          <w:sz w:val="24"/>
          <w:u w:val="none"/>
        </w:rPr>
      </w:pPr>
      <w:r>
        <w:rPr>
          <w:rFonts w:ascii="宋体" w:hAnsi="宋体"/>
          <w:b/>
          <w:bCs/>
          <w:i w:val="0"/>
          <w:iCs w:val="0"/>
          <w:sz w:val="32"/>
          <w:szCs w:val="32"/>
          <w:u w:val="none"/>
        </w:rPr>
        <w:t xml:space="preserve"> </w:t>
      </w:r>
      <w:r>
        <w:rPr>
          <w:rFonts w:hint="eastAsia" w:ascii="宋体" w:hAnsi="宋体"/>
          <w:b/>
          <w:bCs/>
          <w:i w:val="0"/>
          <w:iCs w:val="0"/>
          <w:sz w:val="32"/>
          <w:szCs w:val="32"/>
          <w:u w:val="none"/>
          <w:lang w:val="en-US" w:eastAsia="zh-CN"/>
        </w:rPr>
        <w:t>2023</w:t>
      </w:r>
      <w:r>
        <w:rPr>
          <w:rFonts w:ascii="宋体" w:hAnsi="宋体"/>
          <w:b/>
          <w:bCs/>
          <w:i w:val="0"/>
          <w:iCs w:val="0"/>
          <w:sz w:val="32"/>
          <w:szCs w:val="32"/>
          <w:u w:val="none"/>
          <w:lang w:val="zh-CN"/>
        </w:rPr>
        <w:t>年</w:t>
      </w:r>
      <w:r>
        <w:rPr>
          <w:rFonts w:ascii="宋体" w:hAnsi="宋体"/>
          <w:b/>
          <w:bCs/>
          <w:i w:val="0"/>
          <w:iCs w:val="0"/>
          <w:sz w:val="32"/>
          <w:szCs w:val="32"/>
          <w:u w:val="none"/>
        </w:rPr>
        <w:t xml:space="preserve"> </w:t>
      </w:r>
      <w:r>
        <w:rPr>
          <w:rFonts w:hint="eastAsia" w:ascii="宋体" w:hAnsi="宋体"/>
          <w:b/>
          <w:bCs/>
          <w:i w:val="0"/>
          <w:iCs w:val="0"/>
          <w:sz w:val="32"/>
          <w:szCs w:val="32"/>
          <w:u w:val="none"/>
          <w:lang w:val="en-US" w:eastAsia="zh-CN"/>
        </w:rPr>
        <w:t>9</w:t>
      </w:r>
      <w:r>
        <w:rPr>
          <w:rFonts w:ascii="宋体" w:hAnsi="宋体"/>
          <w:b/>
          <w:bCs/>
          <w:i w:val="0"/>
          <w:iCs w:val="0"/>
          <w:sz w:val="32"/>
          <w:szCs w:val="32"/>
          <w:u w:val="none"/>
        </w:rPr>
        <w:t xml:space="preserve"> </w:t>
      </w:r>
      <w:r>
        <w:rPr>
          <w:rFonts w:ascii="宋体" w:hAnsi="宋体"/>
          <w:b/>
          <w:bCs/>
          <w:i w:val="0"/>
          <w:iCs w:val="0"/>
          <w:sz w:val="32"/>
          <w:szCs w:val="32"/>
          <w:u w:val="none"/>
          <w:lang w:val="zh-CN"/>
        </w:rPr>
        <w:t>月</w:t>
      </w:r>
    </w:p>
    <w:p>
      <w:pPr>
        <w:spacing w:line="400" w:lineRule="exact"/>
        <w:rPr>
          <w:rFonts w:ascii="宋体" w:hAnsi="宋体"/>
          <w:i w:val="0"/>
          <w:iCs w:val="0"/>
          <w:sz w:val="32"/>
          <w:u w:val="none"/>
        </w:rPr>
        <w:sectPr>
          <w:footerReference r:id="rId6" w:type="first"/>
          <w:footerReference r:id="rId4" w:type="default"/>
          <w:headerReference r:id="rId3" w:type="even"/>
          <w:footerReference r:id="rId5" w:type="even"/>
          <w:pgSz w:w="11907" w:h="16840"/>
          <w:pgMar w:top="1418" w:right="1514" w:bottom="1418" w:left="1985" w:header="851" w:footer="992" w:gutter="0"/>
          <w:pgNumType w:start="0"/>
          <w:cols w:space="720" w:num="1"/>
          <w:docGrid w:linePitch="312" w:charSpace="0"/>
        </w:sectPr>
      </w:pPr>
    </w:p>
    <w:p>
      <w:pPr>
        <w:jc w:val="center"/>
        <w:rPr>
          <w:rFonts w:ascii="宋体" w:hAnsi="宋体"/>
          <w:b/>
          <w:bCs/>
          <w:sz w:val="36"/>
          <w:szCs w:val="36"/>
        </w:rPr>
      </w:pPr>
      <w:bookmarkStart w:id="0" w:name="_Hlt101233737"/>
      <w:bookmarkEnd w:id="0"/>
      <w:bookmarkStart w:id="1" w:name="_Hlt101843627"/>
      <w:bookmarkEnd w:id="1"/>
      <w:r>
        <w:rPr>
          <w:rFonts w:hint="eastAsia" w:ascii="宋体" w:hAnsi="宋体"/>
          <w:b/>
          <w:bCs/>
          <w:sz w:val="36"/>
          <w:szCs w:val="36"/>
        </w:rPr>
        <w:t>目    录</w:t>
      </w:r>
    </w:p>
    <w:p>
      <w:pPr>
        <w:spacing w:line="640" w:lineRule="exact"/>
        <w:jc w:val="center"/>
        <w:rPr>
          <w:rFonts w:ascii="宋体" w:hAnsi="宋体"/>
          <w:b/>
          <w:bCs/>
          <w:sz w:val="24"/>
        </w:rPr>
      </w:pPr>
    </w:p>
    <w:p>
      <w:pPr>
        <w:pStyle w:val="28"/>
        <w:tabs>
          <w:tab w:val="right" w:leader="dot" w:pos="8959"/>
        </w:tabs>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_Toc9806 </w:instrText>
      </w:r>
      <w:r>
        <w:rPr>
          <w:rFonts w:hint="eastAsia" w:ascii="宋体" w:hAnsi="宋体" w:cs="宋体"/>
        </w:rPr>
        <w:fldChar w:fldCharType="separate"/>
      </w:r>
      <w:r>
        <w:rPr>
          <w:rFonts w:hint="eastAsia" w:ascii="宋体" w:hAnsi="宋体"/>
          <w:szCs w:val="36"/>
        </w:rPr>
        <w:t>第一章  竞争性谈判公告</w:t>
      </w:r>
      <w:r>
        <w:tab/>
      </w:r>
      <w:r>
        <w:fldChar w:fldCharType="begin"/>
      </w:r>
      <w:r>
        <w:instrText xml:space="preserve"> PAGEREF _Toc9806 \h </w:instrText>
      </w:r>
      <w:r>
        <w:fldChar w:fldCharType="separate"/>
      </w:r>
      <w:r>
        <w:t>2</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_Toc20630 </w:instrText>
      </w:r>
      <w:r>
        <w:rPr>
          <w:rFonts w:hint="eastAsia" w:ascii="宋体" w:hAnsi="宋体" w:cs="宋体"/>
        </w:rPr>
        <w:fldChar w:fldCharType="separate"/>
      </w:r>
      <w:r>
        <w:rPr>
          <w:rFonts w:hint="eastAsia" w:ascii="宋体" w:hAnsi="宋体"/>
          <w:szCs w:val="36"/>
        </w:rPr>
        <w:t>第二章  谈判须知</w:t>
      </w:r>
      <w:r>
        <w:tab/>
      </w:r>
      <w:r>
        <w:fldChar w:fldCharType="begin"/>
      </w:r>
      <w:r>
        <w:instrText xml:space="preserve"> PAGEREF _Toc20630 \h </w:instrText>
      </w:r>
      <w:r>
        <w:fldChar w:fldCharType="separate"/>
      </w:r>
      <w:r>
        <w:t>4</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_Toc23874 </w:instrText>
      </w:r>
      <w:r>
        <w:rPr>
          <w:rFonts w:hint="eastAsia" w:ascii="宋体" w:hAnsi="宋体" w:cs="宋体"/>
        </w:rPr>
        <w:fldChar w:fldCharType="separate"/>
      </w:r>
      <w:r>
        <w:rPr>
          <w:rFonts w:hint="eastAsia" w:ascii="宋体" w:hAnsi="宋体"/>
          <w:szCs w:val="36"/>
        </w:rPr>
        <w:t>第三章  供应商资格条件要求</w:t>
      </w:r>
      <w:r>
        <w:tab/>
      </w:r>
      <w:r>
        <w:fldChar w:fldCharType="begin"/>
      </w:r>
      <w:r>
        <w:instrText xml:space="preserve"> PAGEREF _Toc23874 \h </w:instrText>
      </w:r>
      <w:r>
        <w:fldChar w:fldCharType="separate"/>
      </w:r>
      <w:r>
        <w:t>17</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_Toc5352 </w:instrText>
      </w:r>
      <w:r>
        <w:rPr>
          <w:rFonts w:hint="eastAsia" w:ascii="宋体" w:hAnsi="宋体" w:cs="宋体"/>
        </w:rPr>
        <w:fldChar w:fldCharType="separate"/>
      </w:r>
      <w:r>
        <w:rPr>
          <w:rFonts w:hint="eastAsia" w:ascii="宋体" w:hAnsi="宋体"/>
          <w:szCs w:val="36"/>
        </w:rPr>
        <w:t>第四章  供应商资格证明材料</w:t>
      </w:r>
      <w:r>
        <w:tab/>
      </w:r>
      <w:r>
        <w:fldChar w:fldCharType="begin"/>
      </w:r>
      <w:r>
        <w:instrText xml:space="preserve"> PAGEREF _Toc5352 \h </w:instrText>
      </w:r>
      <w:r>
        <w:fldChar w:fldCharType="separate"/>
      </w:r>
      <w:r>
        <w:t>18</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_Toc5227 </w:instrText>
      </w:r>
      <w:r>
        <w:rPr>
          <w:rFonts w:hint="eastAsia" w:ascii="宋体" w:hAnsi="宋体" w:cs="宋体"/>
        </w:rPr>
        <w:fldChar w:fldCharType="separate"/>
      </w:r>
      <w:r>
        <w:rPr>
          <w:rFonts w:hint="eastAsia" w:ascii="宋体" w:hAnsi="宋体"/>
          <w:szCs w:val="36"/>
        </w:rPr>
        <w:t>第五章  采购项目技术、服务、采购合同内容条款及其他商务要求</w:t>
      </w:r>
      <w:r>
        <w:tab/>
      </w:r>
      <w:r>
        <w:fldChar w:fldCharType="begin"/>
      </w:r>
      <w:r>
        <w:instrText xml:space="preserve"> PAGEREF _Toc5227 \h </w:instrText>
      </w:r>
      <w:r>
        <w:fldChar w:fldCharType="separate"/>
      </w:r>
      <w:r>
        <w:t>20</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_Toc9267 </w:instrText>
      </w:r>
      <w:r>
        <w:rPr>
          <w:rFonts w:hint="eastAsia" w:ascii="宋体" w:hAnsi="宋体" w:cs="宋体"/>
        </w:rPr>
        <w:fldChar w:fldCharType="separate"/>
      </w:r>
      <w:r>
        <w:rPr>
          <w:rFonts w:hint="eastAsia" w:ascii="宋体" w:hAnsi="宋体"/>
          <w:szCs w:val="36"/>
        </w:rPr>
        <w:t>第六章  采购项目实质性要求</w:t>
      </w:r>
      <w:r>
        <w:tab/>
      </w:r>
      <w:r>
        <w:fldChar w:fldCharType="begin"/>
      </w:r>
      <w:r>
        <w:instrText xml:space="preserve"> PAGEREF _Toc9267 \h </w:instrText>
      </w:r>
      <w:r>
        <w:fldChar w:fldCharType="separate"/>
      </w:r>
      <w:r>
        <w:t>26</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_Toc1235 </w:instrText>
      </w:r>
      <w:r>
        <w:rPr>
          <w:rFonts w:hint="eastAsia" w:ascii="宋体" w:hAnsi="宋体" w:cs="宋体"/>
        </w:rPr>
        <w:fldChar w:fldCharType="separate"/>
      </w:r>
      <w:r>
        <w:rPr>
          <w:rFonts w:hint="eastAsia" w:ascii="宋体" w:hAnsi="宋体"/>
          <w:szCs w:val="36"/>
        </w:rPr>
        <w:t>第七章  谈判内容、谈判过程中可实质性变动的内容</w:t>
      </w:r>
      <w:r>
        <w:tab/>
      </w:r>
      <w:r>
        <w:fldChar w:fldCharType="begin"/>
      </w:r>
      <w:r>
        <w:instrText xml:space="preserve"> PAGEREF _Toc1235 \h </w:instrText>
      </w:r>
      <w:r>
        <w:fldChar w:fldCharType="separate"/>
      </w:r>
      <w:r>
        <w:t>27</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_Toc16950 </w:instrText>
      </w:r>
      <w:r>
        <w:rPr>
          <w:rFonts w:hint="eastAsia" w:ascii="宋体" w:hAnsi="宋体" w:cs="宋体"/>
        </w:rPr>
        <w:fldChar w:fldCharType="separate"/>
      </w:r>
      <w:r>
        <w:rPr>
          <w:rFonts w:hint="eastAsia" w:ascii="宋体" w:hAnsi="宋体"/>
          <w:szCs w:val="36"/>
        </w:rPr>
        <w:t>第八章  响应文件格式</w:t>
      </w:r>
      <w:r>
        <w:tab/>
      </w:r>
      <w:r>
        <w:fldChar w:fldCharType="begin"/>
      </w:r>
      <w:r>
        <w:instrText xml:space="preserve"> PAGEREF _Toc16950 \h </w:instrText>
      </w:r>
      <w:r>
        <w:fldChar w:fldCharType="separate"/>
      </w:r>
      <w:r>
        <w:t>28</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_Toc32441 </w:instrText>
      </w:r>
      <w:r>
        <w:rPr>
          <w:rFonts w:hint="eastAsia" w:ascii="宋体" w:hAnsi="宋体" w:cs="宋体"/>
        </w:rPr>
        <w:fldChar w:fldCharType="separate"/>
      </w:r>
      <w:r>
        <w:rPr>
          <w:rFonts w:hint="eastAsia" w:ascii="宋体" w:hAnsi="宋体"/>
          <w:szCs w:val="36"/>
        </w:rPr>
        <w:t>第九章  评审方法</w:t>
      </w:r>
      <w:r>
        <w:tab/>
      </w:r>
      <w:r>
        <w:fldChar w:fldCharType="begin"/>
      </w:r>
      <w:r>
        <w:instrText xml:space="preserve"> PAGEREF _Toc32441 \h </w:instrText>
      </w:r>
      <w:r>
        <w:fldChar w:fldCharType="separate"/>
      </w:r>
      <w:r>
        <w:t>48</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_Toc29664 </w:instrText>
      </w:r>
      <w:r>
        <w:rPr>
          <w:rFonts w:hint="eastAsia" w:ascii="宋体" w:hAnsi="宋体" w:cs="宋体"/>
        </w:rPr>
        <w:fldChar w:fldCharType="separate"/>
      </w:r>
      <w:r>
        <w:rPr>
          <w:rFonts w:hint="eastAsia" w:ascii="宋体" w:hAnsi="宋体" w:cs="宋体"/>
          <w:szCs w:val="36"/>
        </w:rPr>
        <w:t>第十章 采购合同（草案）</w:t>
      </w:r>
      <w:r>
        <w:tab/>
      </w:r>
      <w:r>
        <w:fldChar w:fldCharType="begin"/>
      </w:r>
      <w:r>
        <w:instrText xml:space="preserve"> PAGEREF _Toc29664 \h </w:instrText>
      </w:r>
      <w:r>
        <w:fldChar w:fldCharType="separate"/>
      </w:r>
      <w:r>
        <w:t>53</w:t>
      </w:r>
      <w:r>
        <w:fldChar w:fldCharType="end"/>
      </w:r>
      <w:r>
        <w:rPr>
          <w:rFonts w:hint="eastAsia" w:ascii="宋体" w:hAnsi="宋体" w:cs="宋体"/>
        </w:rPr>
        <w:fldChar w:fldCharType="end"/>
      </w:r>
    </w:p>
    <w:p>
      <w:pPr>
        <w:spacing w:line="640" w:lineRule="exact"/>
        <w:rPr>
          <w:rFonts w:ascii="宋体" w:hAnsi="宋体"/>
          <w:sz w:val="24"/>
        </w:rPr>
        <w:sectPr>
          <w:footerReference r:id="rId8" w:type="first"/>
          <w:footerReference r:id="rId7"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rPr>
        <w:fldChar w:fldCharType="end"/>
      </w:r>
      <w:bookmarkStart w:id="112" w:name="_GoBack"/>
      <w:bookmarkEnd w:id="112"/>
      <w:bookmarkStart w:id="2" w:name="_Toc24584"/>
    </w:p>
    <w:p>
      <w:pPr>
        <w:pStyle w:val="3"/>
        <w:spacing w:line="240" w:lineRule="atLeast"/>
        <w:jc w:val="center"/>
        <w:rPr>
          <w:rFonts w:ascii="宋体" w:hAnsi="宋体"/>
          <w:sz w:val="36"/>
          <w:szCs w:val="36"/>
        </w:rPr>
      </w:pPr>
      <w:bookmarkStart w:id="3" w:name="_Toc9806"/>
      <w:r>
        <w:rPr>
          <w:rFonts w:hint="eastAsia" w:ascii="宋体" w:hAnsi="宋体"/>
          <w:sz w:val="36"/>
          <w:szCs w:val="36"/>
        </w:rPr>
        <w:t xml:space="preserve">第一章  </w:t>
      </w:r>
      <w:bookmarkEnd w:id="2"/>
      <w:r>
        <w:rPr>
          <w:rFonts w:hint="eastAsia" w:ascii="宋体" w:hAnsi="宋体"/>
          <w:sz w:val="36"/>
          <w:szCs w:val="36"/>
        </w:rPr>
        <w:t>竞争性谈判公告</w:t>
      </w:r>
      <w:bookmarkEnd w:id="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bookmarkStart w:id="4" w:name="_Toc12497"/>
      <w:bookmarkStart w:id="5" w:name="_Toc213396759"/>
      <w:bookmarkStart w:id="6" w:name="_Toc213397009"/>
      <w:bookmarkStart w:id="7" w:name="_Toc217446031"/>
      <w:bookmarkStart w:id="8" w:name="_Toc213396945"/>
      <w:bookmarkStart w:id="9" w:name="_Toc213496267"/>
      <w:r>
        <w:rPr>
          <w:rFonts w:hint="default" w:ascii="仿宋" w:hAnsi="仿宋" w:eastAsia="仿宋" w:cs="仿宋"/>
          <w:sz w:val="28"/>
          <w:szCs w:val="28"/>
          <w:lang w:val="en-US" w:eastAsia="zh-CN"/>
        </w:rPr>
        <w:t>四川省都江堰水利发展中心拟对</w:t>
      </w:r>
      <w:bookmarkStart w:id="10" w:name="_Toc5123"/>
      <w:bookmarkStart w:id="11" w:name="_Toc12656"/>
      <w:r>
        <w:rPr>
          <w:rFonts w:hint="default" w:ascii="仿宋" w:hAnsi="仿宋" w:eastAsia="仿宋" w:cs="仿宋"/>
          <w:sz w:val="28"/>
          <w:szCs w:val="28"/>
          <w:lang w:val="en-US" w:eastAsia="zh-CN"/>
        </w:rPr>
        <w:t>2023</w:t>
      </w:r>
      <w:r>
        <w:rPr>
          <w:rFonts w:hint="eastAsia" w:ascii="仿宋" w:hAnsi="仿宋" w:eastAsia="仿宋" w:cs="仿宋"/>
          <w:sz w:val="28"/>
          <w:szCs w:val="28"/>
          <w:lang w:val="en-US" w:eastAsia="zh-CN"/>
        </w:rPr>
        <w:t>年度都江堰灌区</w:t>
      </w:r>
      <w:r>
        <w:rPr>
          <w:rFonts w:hint="eastAsia" w:ascii="仿宋" w:hAnsi="仿宋" w:eastAsia="仿宋" w:cs="仿宋"/>
          <w:sz w:val="28"/>
          <w:szCs w:val="28"/>
          <w:lang w:val="zh-CN" w:eastAsia="zh-CN"/>
        </w:rPr>
        <w:t>人民渠第一管理处</w:t>
      </w:r>
      <w:r>
        <w:rPr>
          <w:rFonts w:hint="eastAsia" w:ascii="仿宋" w:hAnsi="仿宋" w:eastAsia="仿宋" w:cs="仿宋"/>
          <w:sz w:val="28"/>
          <w:szCs w:val="28"/>
          <w:lang w:val="en-US" w:eastAsia="zh-CN"/>
        </w:rPr>
        <w:t>防汛应急抢险</w:t>
      </w:r>
      <w:r>
        <w:rPr>
          <w:rFonts w:hint="eastAsia" w:ascii="仿宋" w:hAnsi="仿宋" w:eastAsia="仿宋" w:cs="仿宋"/>
          <w:sz w:val="28"/>
          <w:szCs w:val="28"/>
          <w:lang w:val="zh-CN" w:eastAsia="zh-CN"/>
        </w:rPr>
        <w:t>项目</w:t>
      </w:r>
      <w:bookmarkEnd w:id="10"/>
      <w:bookmarkEnd w:id="11"/>
      <w:r>
        <w:rPr>
          <w:rFonts w:hint="eastAsia" w:ascii="仿宋" w:hAnsi="仿宋" w:eastAsia="仿宋" w:cs="仿宋"/>
          <w:sz w:val="28"/>
          <w:szCs w:val="28"/>
          <w:lang w:val="en-US" w:eastAsia="zh-CN"/>
        </w:rPr>
        <w:t>监理</w:t>
      </w:r>
      <w:r>
        <w:rPr>
          <w:rFonts w:hint="default" w:ascii="仿宋" w:hAnsi="仿宋" w:eastAsia="仿宋" w:cs="仿宋"/>
          <w:sz w:val="28"/>
          <w:szCs w:val="28"/>
          <w:lang w:val="en-US" w:eastAsia="zh-CN"/>
        </w:rPr>
        <w:t>采用竞争性谈判采购，</w:t>
      </w:r>
      <w:r>
        <w:rPr>
          <w:rFonts w:hint="eastAsia" w:ascii="仿宋" w:hAnsi="仿宋" w:eastAsia="仿宋" w:cs="仿宋"/>
          <w:sz w:val="28"/>
          <w:szCs w:val="28"/>
          <w:lang w:val="en-US" w:eastAsia="zh-CN"/>
        </w:rPr>
        <w:t>现诚邀符合条件、有意向参加本次采购项目的监理单位报名，本次采购参照竞争性谈判方式确定中选单位。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项目基本情况：</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default" w:ascii="仿宋" w:hAnsi="仿宋" w:eastAsia="仿宋" w:cs="仿宋"/>
          <w:sz w:val="28"/>
          <w:szCs w:val="28"/>
          <w:lang w:val="en-US" w:eastAsia="zh-CN"/>
        </w:rPr>
        <w:t>2023</w:t>
      </w:r>
      <w:r>
        <w:rPr>
          <w:rFonts w:hint="eastAsia" w:ascii="仿宋" w:hAnsi="仿宋" w:eastAsia="仿宋" w:cs="仿宋"/>
          <w:sz w:val="28"/>
          <w:szCs w:val="28"/>
          <w:lang w:val="en-US" w:eastAsia="zh-CN"/>
        </w:rPr>
        <w:t>年度都江堰灌区</w:t>
      </w:r>
      <w:r>
        <w:rPr>
          <w:rFonts w:hint="eastAsia" w:ascii="仿宋" w:hAnsi="仿宋" w:eastAsia="仿宋" w:cs="仿宋"/>
          <w:sz w:val="28"/>
          <w:szCs w:val="28"/>
          <w:lang w:val="zh-CN" w:eastAsia="zh-CN"/>
        </w:rPr>
        <w:t>人民渠第一管理处</w:t>
      </w:r>
      <w:r>
        <w:rPr>
          <w:rFonts w:hint="eastAsia" w:ascii="仿宋" w:hAnsi="仿宋" w:eastAsia="仿宋" w:cs="仿宋"/>
          <w:sz w:val="28"/>
          <w:szCs w:val="28"/>
          <w:lang w:val="en-US" w:eastAsia="zh-CN"/>
        </w:rPr>
        <w:t>防汛应急抢险</w:t>
      </w:r>
      <w:r>
        <w:rPr>
          <w:rFonts w:hint="eastAsia" w:ascii="仿宋" w:hAnsi="仿宋" w:eastAsia="仿宋" w:cs="仿宋"/>
          <w:sz w:val="28"/>
          <w:szCs w:val="28"/>
          <w:lang w:val="zh-CN" w:eastAsia="zh-CN"/>
        </w:rPr>
        <w:t>项目</w:t>
      </w:r>
      <w:r>
        <w:rPr>
          <w:rFonts w:hint="eastAsia" w:ascii="仿宋" w:hAnsi="仿宋" w:eastAsia="仿宋" w:cs="仿宋"/>
          <w:sz w:val="28"/>
          <w:szCs w:val="28"/>
          <w:lang w:val="en-US" w:eastAsia="zh-CN"/>
        </w:rPr>
        <w:t>监理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采购方式：竞争性谈判</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最高限价：</w:t>
      </w:r>
      <w:r>
        <w:rPr>
          <w:rFonts w:hint="eastAsia" w:ascii="仿宋" w:hAnsi="仿宋" w:eastAsia="仿宋" w:cs="仿宋"/>
          <w:sz w:val="28"/>
          <w:szCs w:val="28"/>
          <w:highlight w:val="none"/>
          <w:lang w:val="en-US" w:eastAsia="zh-CN"/>
        </w:rPr>
        <w:t>1.40万元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采购需求及内容：详见竞争性谈判文件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合同履行期限：施工工期+缺陷责任期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本项目不接受联合体参加竞争性谈判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bookmarkStart w:id="12" w:name="_Toc35393622"/>
      <w:bookmarkStart w:id="13" w:name="_Toc28359080"/>
      <w:bookmarkStart w:id="14" w:name="_Toc28359003"/>
      <w:bookmarkStart w:id="15" w:name="_Toc35393791"/>
      <w:r>
        <w:rPr>
          <w:rFonts w:hint="eastAsia" w:ascii="黑体" w:hAnsi="黑体" w:eastAsia="黑体" w:cs="黑体"/>
          <w:sz w:val="28"/>
          <w:szCs w:val="28"/>
          <w:lang w:val="en-US" w:eastAsia="zh-CN"/>
        </w:rPr>
        <w:t>供应商资格要求：</w:t>
      </w:r>
      <w:bookmarkEnd w:id="12"/>
      <w:bookmarkEnd w:id="13"/>
      <w:bookmarkEnd w:id="14"/>
      <w:bookmarkEnd w:id="15"/>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本项目的特定资格要求：具有水行政主管部门颁发的</w:t>
      </w:r>
      <w:r>
        <w:rPr>
          <w:rFonts w:hint="eastAsia" w:ascii="仿宋" w:hAnsi="仿宋" w:eastAsia="仿宋" w:cs="仿宋"/>
          <w:sz w:val="28"/>
          <w:szCs w:val="28"/>
          <w:u w:val="single"/>
          <w:lang w:val="en-US" w:eastAsia="zh-CN"/>
        </w:rPr>
        <w:t>水利工程施工监理丙级及以上资质</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获取竞争性谈判文件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r>
        <w:rPr>
          <w:rFonts w:hint="eastAsia" w:ascii="仿宋" w:hAnsi="仿宋" w:eastAsia="仿宋" w:cs="仿宋"/>
          <w:sz w:val="28"/>
          <w:szCs w:val="28"/>
          <w:highlight w:val="none"/>
          <w:lang w:val="en-US" w:eastAsia="zh-CN"/>
        </w:rPr>
        <w:t>：2023年9月26 日至 2023年9月28 日</w:t>
      </w:r>
      <w:r>
        <w:rPr>
          <w:rFonts w:hint="eastAsia" w:ascii="仿宋" w:hAnsi="仿宋" w:eastAsia="仿宋" w:cs="仿宋"/>
          <w:sz w:val="28"/>
          <w:szCs w:val="28"/>
          <w:lang w:val="en-US" w:eastAsia="zh-CN"/>
        </w:rPr>
        <w:t>（北京时间：9:00至12:00、13:00至17:00）。</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地点：四川省都江堰水利发展中心人民渠第一管理处5楼504室（四川省成都市彭州市东南市街67号）。</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售价：￥0.0 元（人民币）</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获取竞争性谈判文件后即视为自动报名。</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四、评选时间和方式</w:t>
      </w:r>
    </w:p>
    <w:p>
      <w:pPr>
        <w:keepNext w:val="0"/>
        <w:keepLines w:val="0"/>
        <w:pageBreakBefore w:val="0"/>
        <w:widowControl w:val="0"/>
        <w:numPr>
          <w:ilvl w:val="0"/>
          <w:numId w:val="5"/>
        </w:numPr>
        <w:kinsoku/>
        <w:wordWrap/>
        <w:overflowPunct/>
        <w:topLinePunct w:val="0"/>
        <w:bidi w:val="0"/>
        <w:snapToGrid/>
        <w:spacing w:line="520" w:lineRule="exact"/>
        <w:ind w:left="0" w:leftChars="0" w:firstLine="42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资料提交：响应文件资料完全密封后最迟于2023年10 月13  日10:00送达至四川省都江堰水利发展中心人民渠第一管理处5楼504室（四川省成都市彭州市东南市街67号）。响应文件所需资料详见竞争性谈判文件。</w:t>
      </w:r>
    </w:p>
    <w:p>
      <w:pPr>
        <w:keepNext w:val="0"/>
        <w:keepLines w:val="0"/>
        <w:pageBreakBefore w:val="0"/>
        <w:widowControl w:val="0"/>
        <w:numPr>
          <w:ilvl w:val="0"/>
          <w:numId w:val="5"/>
        </w:numPr>
        <w:kinsoku/>
        <w:wordWrap/>
        <w:overflowPunct/>
        <w:topLinePunct w:val="0"/>
        <w:bidi w:val="0"/>
        <w:snapToGrid/>
        <w:spacing w:line="520" w:lineRule="exact"/>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评选时间和方式：2023年10 月 13 日上午10:00进行评选谈判，</w:t>
      </w:r>
      <w:r>
        <w:rPr>
          <w:rFonts w:hint="eastAsia" w:ascii="仿宋" w:hAnsi="仿宋" w:eastAsia="仿宋" w:cs="仿宋"/>
          <w:color w:val="auto"/>
          <w:sz w:val="28"/>
          <w:szCs w:val="28"/>
          <w:highlight w:val="none"/>
        </w:rPr>
        <w:t>在资质</w:t>
      </w:r>
      <w:r>
        <w:rPr>
          <w:rFonts w:hint="eastAsia" w:ascii="仿宋" w:hAnsi="仿宋" w:eastAsia="仿宋" w:cs="仿宋"/>
          <w:color w:val="auto"/>
          <w:sz w:val="28"/>
          <w:szCs w:val="28"/>
          <w:highlight w:val="none"/>
          <w:lang w:val="en-US" w:eastAsia="zh-CN"/>
        </w:rPr>
        <w:t>等条件</w:t>
      </w:r>
      <w:r>
        <w:rPr>
          <w:rFonts w:hint="eastAsia" w:ascii="仿宋" w:hAnsi="仿宋" w:eastAsia="仿宋" w:cs="仿宋"/>
          <w:color w:val="auto"/>
          <w:sz w:val="28"/>
          <w:szCs w:val="28"/>
          <w:highlight w:val="none"/>
        </w:rPr>
        <w:t>符合要求的情况下，报价最低</w:t>
      </w:r>
      <w:r>
        <w:rPr>
          <w:rFonts w:hint="eastAsia" w:ascii="仿宋" w:hAnsi="仿宋" w:eastAsia="仿宋" w:cs="仿宋"/>
          <w:color w:val="auto"/>
          <w:sz w:val="28"/>
          <w:szCs w:val="28"/>
          <w:highlight w:val="none"/>
          <w:lang w:val="en-US" w:eastAsia="zh-CN"/>
        </w:rPr>
        <w:t>的供应商</w:t>
      </w:r>
      <w:r>
        <w:rPr>
          <w:rFonts w:hint="eastAsia" w:ascii="仿宋" w:hAnsi="仿宋" w:eastAsia="仿宋" w:cs="仿宋"/>
          <w:color w:val="auto"/>
          <w:sz w:val="28"/>
          <w:szCs w:val="28"/>
          <w:highlight w:val="none"/>
        </w:rPr>
        <w:t>为项目中选人</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主要流程如下：</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竞争性谈判评审小组与监督人员现场验看响应文件资料密封完整性；</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供应商应不少于3家；</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现场拆开密封的响应文件资料；</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竞争性谈判评审小组进行响应文件资料审查；</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开展二轮报价谈判后，从符合条件的供应商中选取报价最低的为本次项目中选人。</w:t>
      </w:r>
    </w:p>
    <w:p>
      <w:pPr>
        <w:keepNext w:val="0"/>
        <w:keepLines w:val="0"/>
        <w:pageBreakBefore w:val="0"/>
        <w:widowControl w:val="0"/>
        <w:numPr>
          <w:ilvl w:val="0"/>
          <w:numId w:val="5"/>
        </w:numPr>
        <w:kinsoku/>
        <w:wordWrap/>
        <w:overflowPunct/>
        <w:topLinePunct w:val="0"/>
        <w:bidi w:val="0"/>
        <w:snapToGrid/>
        <w:spacing w:line="520" w:lineRule="exact"/>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其他要求：</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逾期送达的或者未送达指定地点的响应文件将不予受理，密封不完整的响应文件，将被拒绝。</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最后报价超过最高限价</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zh-CN" w:eastAsia="zh-CN"/>
        </w:rPr>
        <w:t>,其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eastAsia="zh-CN"/>
        </w:rPr>
        <w:t>文件按无效处理。</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本项目须缴纳履约保证金。缴纳金额按合同金额的10%缴纳，缴纳方式和退还方式以合同签订为准。</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其余要求详见</w:t>
      </w:r>
      <w:r>
        <w:rPr>
          <w:rFonts w:hint="eastAsia" w:ascii="仿宋" w:hAnsi="仿宋" w:eastAsia="仿宋" w:cs="仿宋"/>
          <w:sz w:val="28"/>
          <w:szCs w:val="28"/>
          <w:lang w:val="en-US" w:eastAsia="zh-CN"/>
        </w:rPr>
        <w:t>竞争性谈判文件</w:t>
      </w:r>
      <w:r>
        <w:rPr>
          <w:rFonts w:hint="eastAsia" w:ascii="仿宋" w:hAnsi="仿宋" w:eastAsia="仿宋" w:cs="仿宋"/>
          <w:color w:val="auto"/>
          <w:sz w:val="28"/>
          <w:szCs w:val="28"/>
          <w:highlight w:val="none"/>
          <w:lang w:val="en-US" w:eastAsia="zh-CN"/>
        </w:rPr>
        <w:t>。</w:t>
      </w:r>
    </w:p>
    <w:p>
      <w:pPr>
        <w:pStyle w:val="48"/>
        <w:keepNext w:val="0"/>
        <w:keepLines w:val="0"/>
        <w:pageBreakBefore w:val="0"/>
        <w:widowControl w:val="0"/>
        <w:kinsoku/>
        <w:wordWrap/>
        <w:overflowPunct/>
        <w:topLinePunct w:val="0"/>
        <w:bidi w:val="0"/>
        <w:snapToGrid/>
        <w:spacing w:line="520" w:lineRule="exact"/>
        <w:textAlignment w:val="auto"/>
        <w:rPr>
          <w:rFonts w:hint="eastAsia"/>
          <w:sz w:val="28"/>
          <w:szCs w:val="28"/>
        </w:rPr>
      </w:pPr>
    </w:p>
    <w:p>
      <w:pPr>
        <w:pStyle w:val="48"/>
        <w:keepNext w:val="0"/>
        <w:keepLines w:val="0"/>
        <w:pageBreakBefore w:val="0"/>
        <w:widowControl w:val="0"/>
        <w:kinsoku/>
        <w:wordWrap/>
        <w:overflowPunct/>
        <w:topLinePunct w:val="0"/>
        <w:bidi w:val="0"/>
        <w:snapToGrid/>
        <w:spacing w:line="520" w:lineRule="exact"/>
        <w:textAlignment w:val="auto"/>
        <w:rPr>
          <w:rFonts w:hint="eastAsia"/>
          <w:sz w:val="28"/>
          <w:szCs w:val="28"/>
          <w:lang w:eastAsia="zh-CN"/>
        </w:rPr>
      </w:pP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姓名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贾老师</w:t>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联系电话：15184472065</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联系地址：四川省成都市</w:t>
      </w:r>
      <w:r>
        <w:rPr>
          <w:rFonts w:hint="eastAsia" w:ascii="仿宋" w:hAnsi="仿宋" w:eastAsia="仿宋" w:cs="仿宋"/>
          <w:sz w:val="28"/>
          <w:szCs w:val="28"/>
          <w:lang w:eastAsia="zh-CN"/>
        </w:rPr>
        <w:t>彭州市东南市街</w:t>
      </w:r>
      <w:r>
        <w:rPr>
          <w:rFonts w:hint="eastAsia" w:ascii="仿宋" w:hAnsi="仿宋" w:eastAsia="仿宋" w:cs="仿宋"/>
          <w:sz w:val="28"/>
          <w:szCs w:val="28"/>
          <w:lang w:val="en-US" w:eastAsia="zh-CN"/>
        </w:rPr>
        <w:t>67</w:t>
      </w:r>
      <w:r>
        <w:rPr>
          <w:rFonts w:hint="eastAsia" w:ascii="仿宋" w:hAnsi="仿宋" w:eastAsia="仿宋" w:cs="仿宋"/>
          <w:sz w:val="28"/>
          <w:szCs w:val="28"/>
        </w:rPr>
        <w:t>号</w:t>
      </w:r>
    </w:p>
    <w:p>
      <w:pPr>
        <w:pStyle w:val="3"/>
        <w:spacing w:before="0" w:after="0" w:line="360" w:lineRule="auto"/>
        <w:jc w:val="center"/>
        <w:rPr>
          <w:rFonts w:ascii="宋体" w:hAnsi="宋体"/>
          <w:sz w:val="36"/>
          <w:szCs w:val="36"/>
        </w:rPr>
      </w:pPr>
      <w:bookmarkStart w:id="16" w:name="_Toc20630"/>
      <w:r>
        <w:rPr>
          <w:rFonts w:hint="eastAsia" w:ascii="宋体" w:hAnsi="宋体"/>
          <w:sz w:val="36"/>
          <w:szCs w:val="36"/>
        </w:rPr>
        <w:t xml:space="preserve">第二章  </w:t>
      </w:r>
      <w:bookmarkEnd w:id="4"/>
      <w:r>
        <w:rPr>
          <w:rFonts w:hint="eastAsia" w:ascii="宋体" w:hAnsi="宋体"/>
          <w:sz w:val="36"/>
          <w:szCs w:val="36"/>
        </w:rPr>
        <w:t>谈判须知</w:t>
      </w:r>
      <w:bookmarkEnd w:id="16"/>
    </w:p>
    <w:p>
      <w:pPr>
        <w:pStyle w:val="4"/>
        <w:spacing w:line="360" w:lineRule="auto"/>
        <w:jc w:val="center"/>
        <w:rPr>
          <w:rFonts w:ascii="宋体" w:hAnsi="宋体" w:eastAsia="宋体"/>
        </w:rPr>
      </w:pPr>
      <w:r>
        <w:rPr>
          <w:rFonts w:hint="eastAsia" w:ascii="宋体" w:hAnsi="宋体" w:eastAsia="宋体"/>
        </w:rPr>
        <w:t>一、供应商须知附表</w:t>
      </w:r>
    </w:p>
    <w:bookmarkEnd w:id="5"/>
    <w:bookmarkEnd w:id="6"/>
    <w:bookmarkEnd w:id="7"/>
    <w:bookmarkEnd w:id="8"/>
    <w:bookmarkEnd w:id="9"/>
    <w:tbl>
      <w:tblPr>
        <w:tblStyle w:val="47"/>
        <w:tblW w:w="950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pStyle w:val="65"/>
              <w:spacing w:line="360" w:lineRule="auto"/>
              <w:ind w:left="9"/>
              <w:jc w:val="center"/>
              <w:rPr>
                <w:rFonts w:cs="Times New Roman"/>
                <w:b/>
                <w:kern w:val="2"/>
                <w:sz w:val="21"/>
                <w:szCs w:val="21"/>
              </w:rPr>
            </w:pPr>
            <w:r>
              <w:rPr>
                <w:rFonts w:hint="eastAsia" w:cs="Times New Roman"/>
                <w:b/>
                <w:kern w:val="2"/>
                <w:sz w:val="21"/>
                <w:szCs w:val="21"/>
              </w:rPr>
              <w:t>序号</w:t>
            </w:r>
          </w:p>
        </w:tc>
        <w:tc>
          <w:tcPr>
            <w:tcW w:w="1985" w:type="dxa"/>
            <w:vAlign w:val="center"/>
          </w:tcPr>
          <w:p>
            <w:pPr>
              <w:pStyle w:val="65"/>
              <w:spacing w:line="360" w:lineRule="auto"/>
              <w:ind w:left="38"/>
              <w:jc w:val="center"/>
              <w:rPr>
                <w:rFonts w:cs="Times New Roman"/>
                <w:b/>
                <w:kern w:val="2"/>
                <w:sz w:val="21"/>
                <w:szCs w:val="21"/>
              </w:rPr>
            </w:pPr>
            <w:r>
              <w:rPr>
                <w:rFonts w:hint="eastAsia" w:cs="Times New Roman"/>
                <w:b/>
                <w:kern w:val="2"/>
                <w:sz w:val="21"/>
                <w:szCs w:val="21"/>
              </w:rPr>
              <w:t>条款名称</w:t>
            </w:r>
          </w:p>
        </w:tc>
        <w:tc>
          <w:tcPr>
            <w:tcW w:w="6678" w:type="dxa"/>
            <w:vAlign w:val="center"/>
          </w:tcPr>
          <w:p>
            <w:pPr>
              <w:pStyle w:val="65"/>
              <w:spacing w:after="120" w:afterLines="50" w:line="288" w:lineRule="auto"/>
              <w:ind w:left="105" w:leftChars="50" w:right="105" w:rightChars="50"/>
              <w:jc w:val="center"/>
              <w:rPr>
                <w:rFonts w:cs="Times New Roman"/>
                <w:b/>
                <w:kern w:val="2"/>
                <w:sz w:val="21"/>
                <w:szCs w:val="21"/>
              </w:rPr>
            </w:pPr>
            <w:r>
              <w:rPr>
                <w:rFonts w:hint="eastAsia" w:cs="Times New Roman"/>
                <w:b/>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2"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1</w:t>
            </w:r>
          </w:p>
        </w:tc>
        <w:tc>
          <w:tcPr>
            <w:tcW w:w="1985" w:type="dxa"/>
            <w:vAlign w:val="center"/>
          </w:tcPr>
          <w:p>
            <w:pPr>
              <w:pStyle w:val="65"/>
              <w:spacing w:line="360" w:lineRule="auto"/>
              <w:ind w:left="38"/>
              <w:jc w:val="center"/>
              <w:rPr>
                <w:rFonts w:cs="Times New Roman"/>
                <w:kern w:val="2"/>
                <w:sz w:val="21"/>
                <w:szCs w:val="21"/>
              </w:rPr>
            </w:pPr>
            <w:r>
              <w:rPr>
                <w:rFonts w:hint="eastAsia" w:cs="Times New Roman"/>
                <w:kern w:val="2"/>
                <w:sz w:val="21"/>
                <w:szCs w:val="21"/>
              </w:rPr>
              <w:t>采购人</w:t>
            </w:r>
          </w:p>
        </w:tc>
        <w:tc>
          <w:tcPr>
            <w:tcW w:w="6678" w:type="dxa"/>
            <w:vAlign w:val="center"/>
          </w:tcPr>
          <w:p>
            <w:pPr>
              <w:pStyle w:val="65"/>
              <w:spacing w:after="120" w:afterLines="50" w:line="288" w:lineRule="auto"/>
              <w:ind w:left="105" w:leftChars="50" w:right="105" w:rightChars="50"/>
              <w:rPr>
                <w:rFonts w:hint="default" w:eastAsia="宋体" w:cs="Times New Roman"/>
                <w:kern w:val="2"/>
                <w:sz w:val="21"/>
                <w:szCs w:val="21"/>
                <w:lang w:val="en-US" w:eastAsia="zh-CN"/>
              </w:rPr>
            </w:pPr>
            <w:r>
              <w:rPr>
                <w:rFonts w:hint="eastAsia" w:cs="Times New Roman"/>
                <w:kern w:val="2"/>
                <w:sz w:val="21"/>
                <w:szCs w:val="21"/>
                <w:lang w:val="en-US" w:eastAsia="zh-CN"/>
              </w:rPr>
              <w:t>四川省都江堰水利发展中心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2</w:t>
            </w:r>
          </w:p>
        </w:tc>
        <w:tc>
          <w:tcPr>
            <w:tcW w:w="1985" w:type="dxa"/>
            <w:vAlign w:val="center"/>
          </w:tcPr>
          <w:p>
            <w:pPr>
              <w:pStyle w:val="65"/>
              <w:spacing w:after="120" w:afterLines="50" w:line="288" w:lineRule="auto"/>
              <w:ind w:left="105" w:leftChars="50" w:right="105" w:rightChars="50"/>
              <w:jc w:val="center"/>
              <w:rPr>
                <w:rFonts w:hint="eastAsia" w:eastAsia="宋体" w:cs="Times New Roman"/>
                <w:kern w:val="2"/>
                <w:sz w:val="21"/>
                <w:szCs w:val="21"/>
                <w:lang w:eastAsia="zh-CN"/>
              </w:rPr>
            </w:pPr>
            <w:r>
              <w:rPr>
                <w:rFonts w:hint="eastAsia" w:cs="Times New Roman"/>
                <w:kern w:val="2"/>
                <w:sz w:val="21"/>
                <w:szCs w:val="21"/>
              </w:rPr>
              <w:t>采购</w:t>
            </w:r>
            <w:r>
              <w:rPr>
                <w:rFonts w:hint="eastAsia" w:cs="Times New Roman"/>
                <w:kern w:val="2"/>
                <w:sz w:val="21"/>
                <w:szCs w:val="21"/>
                <w:lang w:val="en-US" w:eastAsia="zh-CN"/>
              </w:rPr>
              <w:t>联系人</w:t>
            </w:r>
          </w:p>
          <w:p>
            <w:pPr>
              <w:pStyle w:val="65"/>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及联系方式</w:t>
            </w:r>
          </w:p>
        </w:tc>
        <w:tc>
          <w:tcPr>
            <w:tcW w:w="6678" w:type="dxa"/>
            <w:vAlign w:val="center"/>
          </w:tcPr>
          <w:p>
            <w:pPr>
              <w:pStyle w:val="65"/>
              <w:spacing w:after="120" w:afterLines="50" w:line="288" w:lineRule="auto"/>
              <w:ind w:left="105" w:leftChars="50" w:right="105" w:rightChars="50"/>
              <w:rPr>
                <w:rFonts w:hint="default"/>
                <w:sz w:val="21"/>
                <w:szCs w:val="21"/>
                <w:lang w:val="en-US" w:eastAsia="zh-CN"/>
              </w:rPr>
            </w:pPr>
            <w:r>
              <w:rPr>
                <w:rFonts w:hint="eastAsia"/>
                <w:sz w:val="21"/>
                <w:szCs w:val="21"/>
                <w:lang w:val="en-US" w:eastAsia="zh-CN"/>
              </w:rPr>
              <w:t>联系地址：彭州市东南市街67号</w:t>
            </w:r>
          </w:p>
          <w:p>
            <w:pPr>
              <w:pStyle w:val="65"/>
              <w:spacing w:after="120" w:afterLines="50" w:line="288" w:lineRule="auto"/>
              <w:ind w:left="105" w:leftChars="50" w:right="105" w:rightChars="50"/>
              <w:rPr>
                <w:rFonts w:hint="default" w:eastAsia="宋体"/>
                <w:sz w:val="21"/>
                <w:szCs w:val="21"/>
                <w:lang w:val="en-US" w:eastAsia="zh-CN"/>
              </w:rPr>
            </w:pPr>
            <w:r>
              <w:rPr>
                <w:rFonts w:hint="eastAsia"/>
                <w:sz w:val="21"/>
                <w:szCs w:val="21"/>
                <w:lang w:val="en-US" w:eastAsia="zh-CN"/>
              </w:rPr>
              <w:t xml:space="preserve">联系人：贾老师 联系电话：15184472065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3</w:t>
            </w:r>
          </w:p>
        </w:tc>
        <w:tc>
          <w:tcPr>
            <w:tcW w:w="1985" w:type="dxa"/>
            <w:vAlign w:val="center"/>
          </w:tcPr>
          <w:p>
            <w:pPr>
              <w:pStyle w:val="65"/>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供应商邀请方式</w:t>
            </w:r>
          </w:p>
        </w:tc>
        <w:tc>
          <w:tcPr>
            <w:tcW w:w="6678" w:type="dxa"/>
            <w:vAlign w:val="center"/>
          </w:tcPr>
          <w:p>
            <w:pPr>
              <w:pStyle w:val="48"/>
              <w:spacing w:line="420" w:lineRule="exact"/>
              <w:rPr>
                <w:rFonts w:cs="Times New Roman"/>
                <w:kern w:val="2"/>
                <w:sz w:val="21"/>
                <w:szCs w:val="21"/>
              </w:rPr>
            </w:pPr>
            <w:r>
              <w:rPr>
                <w:rFonts w:hint="eastAsia" w:hAnsi="宋体"/>
                <w:bCs/>
                <w:sz w:val="21"/>
                <w:szCs w:val="21"/>
              </w:rPr>
              <w:t>公告方式：本次竞争性谈判邀请在</w:t>
            </w:r>
            <w:r>
              <w:rPr>
                <w:rFonts w:hint="eastAsia" w:hAnsi="宋体"/>
                <w:bCs/>
                <w:sz w:val="21"/>
                <w:szCs w:val="21"/>
                <w:u w:val="single"/>
                <w:lang w:val="en-US" w:eastAsia="zh-CN"/>
              </w:rPr>
              <w:t>四川省都江堰水利发展中心人民渠第一管理处官网</w:t>
            </w:r>
            <w:r>
              <w:rPr>
                <w:rFonts w:hint="eastAsia" w:hAnsi="宋体"/>
                <w:bCs/>
                <w:sz w:val="21"/>
                <w:szCs w:val="21"/>
              </w:rPr>
              <w:t>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5"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4</w:t>
            </w:r>
          </w:p>
        </w:tc>
        <w:tc>
          <w:tcPr>
            <w:tcW w:w="1985" w:type="dxa"/>
            <w:vAlign w:val="center"/>
          </w:tcPr>
          <w:p>
            <w:pPr>
              <w:pStyle w:val="65"/>
              <w:spacing w:line="360" w:lineRule="auto"/>
              <w:ind w:left="38"/>
              <w:jc w:val="center"/>
              <w:rPr>
                <w:rFonts w:cs="Times New Roman"/>
                <w:kern w:val="2"/>
                <w:sz w:val="21"/>
                <w:szCs w:val="21"/>
              </w:rPr>
            </w:pPr>
            <w:r>
              <w:rPr>
                <w:rFonts w:hint="eastAsia" w:cs="Times New Roman"/>
                <w:kern w:val="2"/>
                <w:sz w:val="21"/>
                <w:szCs w:val="21"/>
              </w:rPr>
              <w:t>拒绝参加本次采购活动的供应商</w:t>
            </w:r>
          </w:p>
        </w:tc>
        <w:tc>
          <w:tcPr>
            <w:tcW w:w="6678" w:type="dxa"/>
            <w:vAlign w:val="center"/>
          </w:tcPr>
          <w:p>
            <w:pPr>
              <w:pStyle w:val="65"/>
              <w:spacing w:after="120" w:afterLines="50" w:line="288" w:lineRule="auto"/>
              <w:ind w:left="105" w:leftChars="50" w:right="105" w:rightChars="50"/>
              <w:rPr>
                <w:rFonts w:cs="Times New Roman"/>
                <w:kern w:val="2"/>
                <w:sz w:val="21"/>
                <w:szCs w:val="21"/>
              </w:rPr>
            </w:pPr>
            <w:r>
              <w:rPr>
                <w:rFonts w:hint="eastAsia" w:cs="Times New Roman"/>
                <w:kern w:val="2"/>
                <w:sz w:val="21"/>
                <w:szCs w:val="21"/>
              </w:rPr>
              <w:t>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4"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5</w:t>
            </w:r>
          </w:p>
        </w:tc>
        <w:tc>
          <w:tcPr>
            <w:tcW w:w="1985" w:type="dxa"/>
            <w:vAlign w:val="center"/>
          </w:tcPr>
          <w:p>
            <w:pPr>
              <w:pStyle w:val="65"/>
              <w:spacing w:line="360" w:lineRule="auto"/>
              <w:ind w:left="38"/>
              <w:jc w:val="center"/>
              <w:rPr>
                <w:rFonts w:cs="Times New Roman"/>
                <w:kern w:val="2"/>
                <w:sz w:val="21"/>
                <w:szCs w:val="21"/>
              </w:rPr>
            </w:pPr>
            <w:r>
              <w:rPr>
                <w:rFonts w:hint="eastAsia" w:cs="Times New Roman"/>
                <w:kern w:val="2"/>
                <w:sz w:val="21"/>
                <w:szCs w:val="21"/>
              </w:rPr>
              <w:t>采购方式</w:t>
            </w:r>
          </w:p>
        </w:tc>
        <w:tc>
          <w:tcPr>
            <w:tcW w:w="6678" w:type="dxa"/>
            <w:vAlign w:val="center"/>
          </w:tcPr>
          <w:p>
            <w:pPr>
              <w:pStyle w:val="65"/>
              <w:spacing w:after="120" w:afterLines="50" w:line="288" w:lineRule="auto"/>
              <w:ind w:left="105" w:leftChars="50" w:right="105" w:rightChars="50"/>
              <w:rPr>
                <w:rFonts w:cs="Times New Roman"/>
                <w:kern w:val="2"/>
                <w:sz w:val="21"/>
                <w:szCs w:val="21"/>
              </w:rPr>
            </w:pPr>
            <w:r>
              <w:rPr>
                <w:rFonts w:hint="eastAsia" w:cs="Times New Roman"/>
                <w:kern w:val="2"/>
                <w:sz w:val="21"/>
                <w:szCs w:val="21"/>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restart"/>
            <w:vAlign w:val="center"/>
          </w:tcPr>
          <w:p>
            <w:pPr>
              <w:pStyle w:val="65"/>
              <w:spacing w:line="360" w:lineRule="auto"/>
              <w:ind w:left="9"/>
              <w:jc w:val="center"/>
              <w:rPr>
                <w:rFonts w:cs="Times New Roman"/>
                <w:kern w:val="2"/>
                <w:sz w:val="21"/>
                <w:szCs w:val="21"/>
              </w:rPr>
            </w:pPr>
            <w:r>
              <w:rPr>
                <w:rFonts w:hint="eastAsia" w:cs="Times New Roman"/>
                <w:kern w:val="2"/>
                <w:sz w:val="21"/>
                <w:szCs w:val="21"/>
              </w:rPr>
              <w:t>6</w:t>
            </w:r>
          </w:p>
        </w:tc>
        <w:tc>
          <w:tcPr>
            <w:tcW w:w="1985" w:type="dxa"/>
            <w:tcBorders>
              <w:bottom w:val="single" w:color="auto" w:sz="4" w:space="0"/>
            </w:tcBorders>
            <w:vAlign w:val="center"/>
          </w:tcPr>
          <w:p>
            <w:pPr>
              <w:pStyle w:val="65"/>
              <w:spacing w:line="360" w:lineRule="auto"/>
              <w:ind w:left="38"/>
              <w:jc w:val="center"/>
              <w:rPr>
                <w:rFonts w:cs="Times New Roman"/>
                <w:b/>
                <w:kern w:val="2"/>
                <w:sz w:val="21"/>
                <w:szCs w:val="21"/>
              </w:rPr>
            </w:pPr>
            <w:r>
              <w:rPr>
                <w:rFonts w:hint="eastAsia" w:cs="Times New Roman"/>
                <w:b/>
                <w:kern w:val="2"/>
                <w:sz w:val="21"/>
                <w:szCs w:val="21"/>
              </w:rPr>
              <w:t>采购预算</w:t>
            </w:r>
          </w:p>
          <w:p>
            <w:pPr>
              <w:pStyle w:val="65"/>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color="auto" w:sz="4" w:space="0"/>
            </w:tcBorders>
            <w:vAlign w:val="center"/>
          </w:tcPr>
          <w:p>
            <w:pPr>
              <w:pStyle w:val="65"/>
              <w:spacing w:after="120" w:afterLines="50" w:line="288" w:lineRule="auto"/>
              <w:ind w:left="105" w:leftChars="50" w:right="105" w:rightChars="50"/>
              <w:rPr>
                <w:color w:val="FF0000"/>
                <w:sz w:val="21"/>
                <w:szCs w:val="21"/>
                <w:highlight w:val="none"/>
                <w:lang w:val="zh-CN"/>
              </w:rPr>
            </w:pPr>
            <w:r>
              <w:rPr>
                <w:rFonts w:hint="eastAsia"/>
                <w:sz w:val="21"/>
                <w:szCs w:val="21"/>
                <w:highlight w:val="none"/>
                <w:lang w:val="zh-CN"/>
              </w:rPr>
              <w:t>本项目采购预算金额为人民币</w:t>
            </w:r>
            <w:r>
              <w:rPr>
                <w:rFonts w:hint="eastAsia"/>
                <w:sz w:val="21"/>
                <w:szCs w:val="21"/>
                <w:highlight w:val="none"/>
                <w:u w:val="single"/>
                <w:lang w:val="zh-CN"/>
              </w:rPr>
              <w:t xml:space="preserve"> </w:t>
            </w:r>
            <w:r>
              <w:rPr>
                <w:rFonts w:hint="eastAsia"/>
                <w:sz w:val="21"/>
                <w:szCs w:val="21"/>
                <w:highlight w:val="none"/>
                <w:u w:val="single"/>
                <w:lang w:val="en-US" w:eastAsia="zh-CN"/>
              </w:rPr>
              <w:t>1.40</w:t>
            </w:r>
            <w:r>
              <w:rPr>
                <w:rFonts w:hint="eastAsia"/>
                <w:sz w:val="21"/>
                <w:szCs w:val="21"/>
                <w:highlight w:val="none"/>
                <w:u w:val="single"/>
                <w:lang w:val="zh-CN"/>
              </w:rPr>
              <w:t xml:space="preserve"> </w:t>
            </w:r>
            <w:r>
              <w:rPr>
                <w:rFonts w:hint="eastAsia"/>
                <w:sz w:val="21"/>
                <w:szCs w:val="21"/>
                <w:highlight w:val="none"/>
                <w:lang w:val="zh-CN"/>
              </w:rPr>
              <w:t>万元</w:t>
            </w:r>
          </w:p>
          <w:p>
            <w:pPr>
              <w:pStyle w:val="65"/>
              <w:spacing w:after="120" w:afterLines="50" w:line="288" w:lineRule="auto"/>
              <w:ind w:left="105" w:leftChars="50" w:right="105" w:rightChars="50"/>
              <w:rPr>
                <w:sz w:val="21"/>
                <w:szCs w:val="21"/>
                <w:highlight w:val="none"/>
              </w:rPr>
            </w:pPr>
            <w:r>
              <w:rPr>
                <w:rFonts w:hint="eastAsia"/>
                <w:sz w:val="21"/>
                <w:szCs w:val="21"/>
                <w:highlight w:val="none"/>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tcBorders>
              <w:top w:val="single" w:color="auto" w:sz="4" w:space="0"/>
            </w:tcBorders>
            <w:vAlign w:val="center"/>
          </w:tcPr>
          <w:p>
            <w:pPr>
              <w:pStyle w:val="65"/>
              <w:spacing w:line="360" w:lineRule="auto"/>
              <w:jc w:val="center"/>
              <w:rPr>
                <w:rFonts w:cs="Times New Roman"/>
                <w:b/>
                <w:kern w:val="2"/>
                <w:sz w:val="21"/>
                <w:szCs w:val="21"/>
              </w:rPr>
            </w:pPr>
            <w:r>
              <w:rPr>
                <w:rFonts w:hint="eastAsia" w:cs="Times New Roman"/>
                <w:b/>
                <w:kern w:val="2"/>
                <w:sz w:val="21"/>
                <w:szCs w:val="21"/>
              </w:rPr>
              <w:t>最高限价</w:t>
            </w:r>
          </w:p>
          <w:p>
            <w:pPr>
              <w:pStyle w:val="65"/>
              <w:spacing w:line="360" w:lineRule="auto"/>
              <w:jc w:val="center"/>
              <w:rPr>
                <w:rFonts w:cs="Times New Roman"/>
                <w:kern w:val="2"/>
                <w:sz w:val="21"/>
                <w:szCs w:val="21"/>
              </w:rPr>
            </w:pPr>
            <w:r>
              <w:rPr>
                <w:rFonts w:hint="eastAsia"/>
                <w:b/>
                <w:sz w:val="21"/>
                <w:szCs w:val="21"/>
              </w:rPr>
              <w:t>（实质性要求）</w:t>
            </w:r>
          </w:p>
        </w:tc>
        <w:tc>
          <w:tcPr>
            <w:tcW w:w="6678" w:type="dxa"/>
            <w:tcBorders>
              <w:top w:val="single" w:color="auto" w:sz="4" w:space="0"/>
            </w:tcBorders>
            <w:vAlign w:val="center"/>
          </w:tcPr>
          <w:p>
            <w:pPr>
              <w:pStyle w:val="6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本项目最高限价为人民币</w:t>
            </w:r>
            <w:r>
              <w:rPr>
                <w:rFonts w:hint="eastAsia"/>
                <w:color w:val="auto"/>
                <w:sz w:val="21"/>
                <w:szCs w:val="21"/>
                <w:highlight w:val="none"/>
                <w:u w:val="single"/>
                <w:lang w:val="zh-CN"/>
              </w:rPr>
              <w:t xml:space="preserve"> </w:t>
            </w:r>
            <w:r>
              <w:rPr>
                <w:rFonts w:hint="eastAsia"/>
                <w:color w:val="auto"/>
                <w:sz w:val="21"/>
                <w:szCs w:val="21"/>
                <w:highlight w:val="none"/>
                <w:u w:val="single"/>
                <w:lang w:val="en-US" w:eastAsia="zh-CN"/>
              </w:rPr>
              <w:t>1.40</w:t>
            </w:r>
            <w:r>
              <w:rPr>
                <w:rFonts w:hint="eastAsia"/>
                <w:color w:val="auto"/>
                <w:sz w:val="21"/>
                <w:szCs w:val="21"/>
                <w:highlight w:val="none"/>
                <w:u w:val="single"/>
                <w:lang w:val="zh-CN"/>
              </w:rPr>
              <w:t xml:space="preserve"> </w:t>
            </w:r>
            <w:r>
              <w:rPr>
                <w:rFonts w:hint="eastAsia"/>
                <w:color w:val="auto"/>
                <w:sz w:val="21"/>
                <w:szCs w:val="21"/>
                <w:highlight w:val="none"/>
                <w:u w:val="none"/>
                <w:lang w:val="en-US" w:eastAsia="zh-CN"/>
              </w:rPr>
              <w:t>万</w:t>
            </w:r>
            <w:r>
              <w:rPr>
                <w:rFonts w:hint="eastAsia"/>
                <w:color w:val="auto"/>
                <w:sz w:val="21"/>
                <w:szCs w:val="21"/>
                <w:highlight w:val="none"/>
                <w:u w:val="none"/>
                <w:lang w:val="zh-CN"/>
              </w:rPr>
              <w:t>元。</w:t>
            </w:r>
          </w:p>
          <w:p>
            <w:pPr>
              <w:pStyle w:val="65"/>
              <w:spacing w:after="120" w:afterLines="50" w:line="288" w:lineRule="auto"/>
              <w:ind w:left="105" w:leftChars="50" w:right="105" w:rightChars="50"/>
              <w:rPr>
                <w:sz w:val="21"/>
                <w:szCs w:val="21"/>
                <w:highlight w:val="none"/>
                <w:lang w:val="zh-CN"/>
              </w:rPr>
            </w:pPr>
            <w:r>
              <w:rPr>
                <w:rFonts w:hint="eastAsia"/>
                <w:sz w:val="21"/>
                <w:szCs w:val="21"/>
                <w:highlight w:val="none"/>
                <w:lang w:val="zh-CN"/>
              </w:rPr>
              <w:t>最后报价超过最高限价,其响应文件按无效处理。</w:t>
            </w:r>
          </w:p>
          <w:p>
            <w:pPr>
              <w:pStyle w:val="65"/>
              <w:spacing w:after="120" w:afterLines="50" w:line="288" w:lineRule="auto"/>
              <w:ind w:left="105" w:leftChars="50" w:right="105" w:rightChars="50"/>
              <w:rPr>
                <w:sz w:val="21"/>
                <w:szCs w:val="21"/>
                <w:highlight w:val="none"/>
                <w:lang w:val="zh-CN"/>
              </w:rPr>
            </w:pPr>
            <w:r>
              <w:rPr>
                <w:rFonts w:hint="eastAsia"/>
                <w:sz w:val="21"/>
                <w:szCs w:val="21"/>
                <w:highlight w:val="none"/>
                <w:lang w:val="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7</w:t>
            </w:r>
          </w:p>
        </w:tc>
        <w:tc>
          <w:tcPr>
            <w:tcW w:w="1985" w:type="dxa"/>
            <w:vAlign w:val="center"/>
          </w:tcPr>
          <w:p>
            <w:pPr>
              <w:pStyle w:val="65"/>
              <w:spacing w:line="360" w:lineRule="auto"/>
              <w:ind w:left="38"/>
              <w:jc w:val="center"/>
              <w:rPr>
                <w:rFonts w:cs="Times New Roman"/>
                <w:b/>
                <w:kern w:val="2"/>
                <w:sz w:val="21"/>
                <w:szCs w:val="21"/>
              </w:rPr>
            </w:pPr>
            <w:r>
              <w:rPr>
                <w:rFonts w:hint="eastAsia" w:cs="Times New Roman"/>
                <w:b/>
                <w:kern w:val="2"/>
                <w:sz w:val="21"/>
                <w:szCs w:val="21"/>
              </w:rPr>
              <w:t>低于成本价不正当</w:t>
            </w:r>
          </w:p>
          <w:p>
            <w:pPr>
              <w:pStyle w:val="65"/>
              <w:spacing w:line="360" w:lineRule="auto"/>
              <w:ind w:left="38"/>
              <w:jc w:val="center"/>
              <w:rPr>
                <w:rFonts w:cs="Times New Roman"/>
                <w:b/>
                <w:kern w:val="2"/>
                <w:sz w:val="21"/>
                <w:szCs w:val="21"/>
              </w:rPr>
            </w:pPr>
            <w:r>
              <w:rPr>
                <w:rFonts w:hint="eastAsia" w:cs="Times New Roman"/>
                <w:b/>
                <w:kern w:val="2"/>
                <w:sz w:val="21"/>
                <w:szCs w:val="21"/>
              </w:rPr>
              <w:t>竞争预防措施</w:t>
            </w:r>
          </w:p>
          <w:p>
            <w:pPr>
              <w:pStyle w:val="65"/>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pPr>
              <w:pStyle w:val="65"/>
              <w:spacing w:after="120" w:afterLines="50" w:line="288" w:lineRule="auto"/>
              <w:ind w:left="105" w:leftChars="50" w:right="105" w:rightChars="50"/>
              <w:rPr>
                <w:sz w:val="21"/>
                <w:szCs w:val="21"/>
                <w:highlight w:val="none"/>
              </w:rPr>
            </w:pPr>
            <w:r>
              <w:rPr>
                <w:rFonts w:hint="eastAsia"/>
                <w:sz w:val="21"/>
                <w:szCs w:val="21"/>
                <w:highlight w:val="none"/>
              </w:rPr>
              <w:t>在评审过程中，</w:t>
            </w:r>
            <w:r>
              <w:rPr>
                <w:rFonts w:hint="eastAsia"/>
                <w:color w:val="auto"/>
                <w:sz w:val="21"/>
                <w:szCs w:val="21"/>
                <w:highlight w:val="none"/>
                <w:lang w:val="en-US" w:eastAsia="zh-CN"/>
              </w:rPr>
              <w:t>谈判小组认为供应商的报价明显低于其他通过符合性审查供应商的报价，</w:t>
            </w:r>
            <w:r>
              <w:rPr>
                <w:rFonts w:hint="eastAsia"/>
                <w:sz w:val="21"/>
                <w:szCs w:val="21"/>
                <w:highlight w:val="none"/>
              </w:rPr>
              <w:t>有可能影响产品质量或者不能诚信履约的，谈判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5"/>
              <w:spacing w:after="120" w:afterLines="50" w:line="288" w:lineRule="auto"/>
              <w:ind w:left="105" w:leftChars="50" w:right="105" w:rightChars="50"/>
              <w:rPr>
                <w:sz w:val="21"/>
                <w:szCs w:val="21"/>
                <w:highlight w:val="none"/>
              </w:rPr>
            </w:pPr>
            <w:r>
              <w:rPr>
                <w:rFonts w:hint="eastAsia"/>
                <w:sz w:val="21"/>
                <w:szCs w:val="21"/>
                <w:highlight w:val="none"/>
              </w:rPr>
              <w:t>供应商书面说明应当签字确认或者加盖公章，否则无效。供应商为法人的，由其法定代表人/单位负责人或者代理人签字确认；供应商为其他组织的，由其主要负责人或者代理人签字确认；供应商为自然人的，由其本人或者代理人签字确认。</w:t>
            </w:r>
          </w:p>
          <w:p>
            <w:pPr>
              <w:pStyle w:val="65"/>
              <w:spacing w:after="120" w:afterLines="50" w:line="288" w:lineRule="auto"/>
              <w:ind w:left="105" w:leftChars="50" w:right="105" w:rightChars="50"/>
              <w:rPr>
                <w:rFonts w:cs="Times New Roman"/>
                <w:kern w:val="2"/>
                <w:sz w:val="21"/>
                <w:szCs w:val="21"/>
                <w:highlight w:val="none"/>
              </w:rPr>
            </w:pPr>
            <w:r>
              <w:rPr>
                <w:rFonts w:hint="eastAsia"/>
                <w:sz w:val="21"/>
                <w:szCs w:val="21"/>
                <w:highlight w:val="none"/>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8</w:t>
            </w:r>
          </w:p>
        </w:tc>
        <w:tc>
          <w:tcPr>
            <w:tcW w:w="1985" w:type="dxa"/>
            <w:vAlign w:val="center"/>
          </w:tcPr>
          <w:p>
            <w:pPr>
              <w:pStyle w:val="65"/>
              <w:spacing w:line="300" w:lineRule="exact"/>
              <w:ind w:left="96"/>
              <w:jc w:val="center"/>
              <w:rPr>
                <w:b/>
                <w:sz w:val="21"/>
                <w:szCs w:val="21"/>
                <w:lang w:val="zh-CN"/>
              </w:rPr>
            </w:pPr>
            <w:r>
              <w:rPr>
                <w:rFonts w:hint="eastAsia"/>
                <w:b/>
                <w:sz w:val="21"/>
                <w:szCs w:val="21"/>
                <w:lang w:val="zh-CN"/>
              </w:rPr>
              <w:t>谈判保证金</w:t>
            </w:r>
          </w:p>
          <w:p>
            <w:pPr>
              <w:pStyle w:val="65"/>
              <w:spacing w:line="300" w:lineRule="exact"/>
              <w:ind w:left="96"/>
              <w:jc w:val="center"/>
              <w:rPr>
                <w:b/>
                <w:sz w:val="21"/>
                <w:szCs w:val="21"/>
                <w:lang w:val="zh-CN"/>
              </w:rPr>
            </w:pPr>
            <w:r>
              <w:rPr>
                <w:rFonts w:hint="eastAsia"/>
                <w:b/>
                <w:sz w:val="21"/>
                <w:szCs w:val="21"/>
                <w:lang w:val="zh-CN"/>
              </w:rPr>
              <w:t>（实质性要求）</w:t>
            </w:r>
          </w:p>
        </w:tc>
        <w:tc>
          <w:tcPr>
            <w:tcW w:w="6678" w:type="dxa"/>
            <w:vAlign w:val="center"/>
          </w:tcPr>
          <w:p>
            <w:pPr>
              <w:pStyle w:val="65"/>
              <w:widowControl/>
              <w:spacing w:after="120" w:afterLines="50" w:line="288" w:lineRule="auto"/>
              <w:ind w:left="105" w:leftChars="50" w:right="105" w:rightChars="50" w:firstLine="210" w:firstLineChars="100"/>
              <w:rPr>
                <w:color w:val="000000"/>
                <w:szCs w:val="21"/>
              </w:rPr>
            </w:pPr>
            <w:r>
              <w:rPr>
                <w:rFonts w:hint="eastAsia"/>
                <w:sz w:val="21"/>
                <w:szCs w:val="21"/>
                <w:highlight w:val="none"/>
                <w:lang w:val="zh-CN"/>
              </w:rPr>
              <w:t>响应川财采[2020]28号文件本项目</w:t>
            </w:r>
            <w:r>
              <w:rPr>
                <w:rFonts w:hint="eastAsia"/>
                <w:sz w:val="21"/>
                <w:szCs w:val="21"/>
                <w:highlight w:val="none"/>
              </w:rPr>
              <w:t>不缴纳</w:t>
            </w:r>
            <w:r>
              <w:rPr>
                <w:rFonts w:hint="eastAsia"/>
                <w:sz w:val="21"/>
                <w:szCs w:val="21"/>
                <w:highlight w:val="none"/>
                <w:lang w:val="en-US" w:eastAsia="zh-CN"/>
              </w:rPr>
              <w:t>谈判</w:t>
            </w:r>
            <w:r>
              <w:rPr>
                <w:rFonts w:hint="eastAsia"/>
                <w:sz w:val="21"/>
                <w:szCs w:val="21"/>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9</w:t>
            </w:r>
          </w:p>
        </w:tc>
        <w:tc>
          <w:tcPr>
            <w:tcW w:w="1985" w:type="dxa"/>
            <w:vAlign w:val="center"/>
          </w:tcPr>
          <w:p>
            <w:pPr>
              <w:spacing w:line="360" w:lineRule="auto"/>
              <w:jc w:val="center"/>
              <w:rPr>
                <w:rFonts w:ascii="宋体" w:hAnsi="宋体"/>
                <w:szCs w:val="21"/>
              </w:rPr>
            </w:pPr>
            <w:r>
              <w:rPr>
                <w:rFonts w:hint="eastAsia" w:ascii="宋体" w:hAnsi="宋体"/>
                <w:szCs w:val="21"/>
              </w:rPr>
              <w:t>保证金退还所需资料</w:t>
            </w:r>
          </w:p>
        </w:tc>
        <w:tc>
          <w:tcPr>
            <w:tcW w:w="6678" w:type="dxa"/>
            <w:vAlign w:val="center"/>
          </w:tcPr>
          <w:p>
            <w:pPr>
              <w:spacing w:after="120" w:afterLines="50" w:line="288" w:lineRule="auto"/>
              <w:ind w:left="105" w:right="105" w:rightChars="50"/>
              <w:jc w:val="left"/>
              <w:rPr>
                <w:rFonts w:hint="eastAsia" w:eastAsia="宋体"/>
                <w:lang w:eastAsia="zh-CN"/>
              </w:rPr>
            </w:pPr>
            <w:r>
              <w:rPr>
                <w:rFonts w:hint="eastAsia" w:ascii="宋体" w:hAnsi="宋体"/>
                <w:szCs w:val="21"/>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10</w:t>
            </w:r>
          </w:p>
        </w:tc>
        <w:tc>
          <w:tcPr>
            <w:tcW w:w="1985" w:type="dxa"/>
            <w:vAlign w:val="center"/>
          </w:tcPr>
          <w:p>
            <w:pPr>
              <w:pStyle w:val="65"/>
              <w:spacing w:line="360" w:lineRule="auto"/>
              <w:ind w:left="96"/>
              <w:jc w:val="center"/>
              <w:rPr>
                <w:sz w:val="21"/>
                <w:szCs w:val="21"/>
                <w:lang w:val="zh-CN"/>
              </w:rPr>
            </w:pPr>
            <w:r>
              <w:rPr>
                <w:rFonts w:hint="eastAsia"/>
                <w:sz w:val="21"/>
                <w:szCs w:val="21"/>
                <w:lang w:val="zh-CN"/>
              </w:rPr>
              <w:t>履约保证金</w:t>
            </w:r>
          </w:p>
        </w:tc>
        <w:tc>
          <w:tcPr>
            <w:tcW w:w="6678" w:type="dxa"/>
            <w:vAlign w:val="center"/>
          </w:tcPr>
          <w:p>
            <w:pPr>
              <w:pStyle w:val="65"/>
              <w:spacing w:after="120" w:afterLines="50" w:line="288" w:lineRule="auto"/>
              <w:ind w:left="105" w:leftChars="50" w:right="105" w:rightChars="50"/>
              <w:rPr>
                <w:sz w:val="21"/>
                <w:szCs w:val="21"/>
                <w:highlight w:val="none"/>
              </w:rPr>
            </w:pPr>
            <w:r>
              <w:rPr>
                <w:rFonts w:hint="eastAsia"/>
                <w:sz w:val="21"/>
                <w:szCs w:val="21"/>
                <w:highlight w:val="none"/>
              </w:rPr>
              <w:t>缴纳金额：合同金额的</w:t>
            </w:r>
            <w:r>
              <w:rPr>
                <w:rFonts w:hint="eastAsia"/>
                <w:sz w:val="21"/>
                <w:szCs w:val="21"/>
                <w:highlight w:val="none"/>
                <w:u w:val="single"/>
              </w:rPr>
              <w:t xml:space="preserve"> </w:t>
            </w:r>
            <w:r>
              <w:rPr>
                <w:rFonts w:hint="eastAsia"/>
                <w:sz w:val="21"/>
                <w:szCs w:val="21"/>
                <w:highlight w:val="none"/>
                <w:u w:val="single"/>
                <w:lang w:val="en-US" w:eastAsia="zh-CN"/>
              </w:rPr>
              <w:t xml:space="preserve">10 </w:t>
            </w:r>
            <w:r>
              <w:rPr>
                <w:rFonts w:hint="eastAsia"/>
                <w:sz w:val="21"/>
                <w:szCs w:val="21"/>
                <w:highlight w:val="none"/>
                <w:u w:val="single"/>
              </w:rPr>
              <w:t xml:space="preserve"> </w:t>
            </w:r>
            <w:r>
              <w:rPr>
                <w:rFonts w:hint="eastAsia"/>
                <w:sz w:val="21"/>
                <w:szCs w:val="21"/>
                <w:highlight w:val="none"/>
              </w:rPr>
              <w:t>%</w:t>
            </w:r>
          </w:p>
          <w:p>
            <w:pPr>
              <w:pStyle w:val="65"/>
              <w:spacing w:after="120" w:afterLines="50" w:line="288" w:lineRule="auto"/>
              <w:ind w:left="105" w:leftChars="50" w:right="105" w:rightChars="50"/>
              <w:rPr>
                <w:sz w:val="21"/>
                <w:szCs w:val="21"/>
                <w:highlight w:val="none"/>
              </w:rPr>
            </w:pPr>
            <w:r>
              <w:rPr>
                <w:rFonts w:hint="eastAsia"/>
                <w:sz w:val="21"/>
                <w:szCs w:val="21"/>
                <w:highlight w:val="none"/>
              </w:rPr>
              <w:t>缴纳方式：履约保证金可以以支票、汇票、本票或者金融机构出具的保函等非现金形式提交（包括网银转账，电汇等方式）。</w:t>
            </w:r>
          </w:p>
          <w:p>
            <w:pPr>
              <w:pStyle w:val="65"/>
              <w:spacing w:after="120" w:afterLines="50" w:line="288" w:lineRule="auto"/>
              <w:ind w:left="105" w:leftChars="50" w:right="105" w:rightChars="50"/>
              <w:rPr>
                <w:rFonts w:hint="default" w:eastAsia="宋体"/>
                <w:sz w:val="21"/>
                <w:szCs w:val="21"/>
                <w:highlight w:val="none"/>
                <w:lang w:val="en-US" w:eastAsia="zh-CN"/>
              </w:rPr>
            </w:pPr>
            <w:r>
              <w:rPr>
                <w:rFonts w:hint="eastAsia"/>
                <w:sz w:val="21"/>
                <w:szCs w:val="21"/>
                <w:highlight w:val="none"/>
              </w:rPr>
              <w:t>收款单位：</w:t>
            </w:r>
            <w:r>
              <w:rPr>
                <w:rFonts w:hint="eastAsia"/>
                <w:sz w:val="21"/>
                <w:szCs w:val="21"/>
                <w:highlight w:val="none"/>
                <w:lang w:val="en-US" w:eastAsia="zh-CN"/>
              </w:rPr>
              <w:t>四川省都江堰水利发展中心</w:t>
            </w:r>
          </w:p>
          <w:p>
            <w:pPr>
              <w:pStyle w:val="65"/>
              <w:spacing w:after="120" w:afterLines="50" w:line="288" w:lineRule="auto"/>
              <w:ind w:left="105" w:leftChars="50" w:right="105" w:rightChars="50"/>
              <w:rPr>
                <w:sz w:val="21"/>
                <w:szCs w:val="21"/>
                <w:highlight w:val="none"/>
              </w:rPr>
            </w:pPr>
            <w:r>
              <w:rPr>
                <w:rFonts w:hint="eastAsia"/>
                <w:sz w:val="21"/>
                <w:szCs w:val="21"/>
                <w:highlight w:val="none"/>
              </w:rPr>
              <w:t xml:space="preserve">开户行：中国建设银行股份有限公司都江堰幸福大道支行 </w:t>
            </w:r>
          </w:p>
          <w:p>
            <w:pPr>
              <w:pStyle w:val="65"/>
              <w:spacing w:after="120" w:afterLines="50" w:line="288" w:lineRule="auto"/>
              <w:ind w:left="105" w:leftChars="50" w:right="105" w:rightChars="50"/>
              <w:rPr>
                <w:sz w:val="21"/>
                <w:szCs w:val="21"/>
                <w:highlight w:val="none"/>
              </w:rPr>
            </w:pPr>
            <w:r>
              <w:rPr>
                <w:rFonts w:hint="eastAsia"/>
                <w:sz w:val="21"/>
                <w:szCs w:val="21"/>
                <w:highlight w:val="none"/>
              </w:rPr>
              <w:t>银行账号：51001586938050667774-0003</w:t>
            </w:r>
          </w:p>
          <w:p>
            <w:pPr>
              <w:pStyle w:val="65"/>
              <w:spacing w:after="120" w:afterLines="50" w:line="288" w:lineRule="auto"/>
              <w:ind w:left="105" w:leftChars="50" w:right="105" w:rightChars="50"/>
              <w:rPr>
                <w:sz w:val="21"/>
                <w:szCs w:val="21"/>
              </w:rPr>
            </w:pPr>
            <w:r>
              <w:rPr>
                <w:rFonts w:hint="eastAsia"/>
                <w:sz w:val="21"/>
                <w:szCs w:val="21"/>
              </w:rPr>
              <w:t>缴纳时间：中标通知书领取后，合同签订前。</w:t>
            </w:r>
          </w:p>
          <w:p>
            <w:pPr>
              <w:pStyle w:val="65"/>
              <w:spacing w:after="120" w:afterLines="50" w:line="288" w:lineRule="auto"/>
              <w:ind w:left="105" w:leftChars="50" w:right="105" w:rightChars="50"/>
              <w:rPr>
                <w:sz w:val="21"/>
                <w:szCs w:val="21"/>
              </w:rPr>
            </w:pPr>
            <w:r>
              <w:rPr>
                <w:rFonts w:hint="eastAsia"/>
                <w:sz w:val="21"/>
                <w:szCs w:val="21"/>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65"/>
              <w:spacing w:after="120" w:afterLines="50" w:line="288" w:lineRule="auto"/>
              <w:ind w:left="105" w:leftChars="50" w:right="105" w:rightChars="50"/>
              <w:rPr>
                <w:sz w:val="21"/>
                <w:szCs w:val="21"/>
              </w:rPr>
            </w:pPr>
            <w:r>
              <w:rPr>
                <w:rFonts w:hint="eastAsia"/>
                <w:sz w:val="21"/>
                <w:szCs w:val="21"/>
              </w:rPr>
              <w:t>履约保证金退还方式：</w:t>
            </w:r>
            <w:r>
              <w:rPr>
                <w:rFonts w:hint="eastAsia"/>
                <w:sz w:val="21"/>
                <w:szCs w:val="21"/>
                <w:u w:val="single"/>
              </w:rPr>
              <w:t>根据中标人履约保证金提交方式原路退回</w:t>
            </w:r>
            <w:r>
              <w:rPr>
                <w:rFonts w:hint="eastAsia"/>
                <w:sz w:val="21"/>
                <w:szCs w:val="21"/>
              </w:rPr>
              <w:t>。</w:t>
            </w:r>
          </w:p>
          <w:p>
            <w:pPr>
              <w:pStyle w:val="65"/>
              <w:spacing w:after="120" w:afterLines="50" w:line="288" w:lineRule="auto"/>
              <w:ind w:left="105" w:leftChars="50" w:right="105" w:rightChars="50"/>
              <w:rPr>
                <w:sz w:val="21"/>
                <w:szCs w:val="21"/>
              </w:rPr>
            </w:pPr>
            <w:r>
              <w:rPr>
                <w:rFonts w:hint="eastAsia"/>
                <w:sz w:val="21"/>
                <w:szCs w:val="21"/>
              </w:rPr>
              <w:t>履约保证金退还时间：</w:t>
            </w:r>
            <w:r>
              <w:rPr>
                <w:rFonts w:hint="eastAsia"/>
                <w:sz w:val="21"/>
                <w:szCs w:val="21"/>
                <w:u w:val="single"/>
              </w:rPr>
              <w:t>履约验收合格后30日内无息退还</w:t>
            </w:r>
            <w:r>
              <w:rPr>
                <w:rFonts w:hint="eastAsia"/>
                <w:sz w:val="21"/>
                <w:szCs w:val="21"/>
              </w:rPr>
              <w:t>。</w:t>
            </w:r>
          </w:p>
          <w:p>
            <w:pPr>
              <w:pStyle w:val="65"/>
              <w:spacing w:after="120" w:afterLines="50" w:line="288" w:lineRule="auto"/>
              <w:ind w:left="105" w:leftChars="50" w:right="105" w:rightChars="50"/>
              <w:rPr>
                <w:sz w:val="21"/>
                <w:szCs w:val="21"/>
              </w:rPr>
            </w:pPr>
            <w:r>
              <w:rPr>
                <w:rFonts w:hint="eastAsia"/>
                <w:sz w:val="21"/>
                <w:szCs w:val="21"/>
              </w:rPr>
              <w:t>履约保证金不予退还情形：</w:t>
            </w:r>
            <w:r>
              <w:rPr>
                <w:rFonts w:hint="eastAsia"/>
                <w:sz w:val="21"/>
                <w:szCs w:val="21"/>
                <w:u w:val="single"/>
              </w:rPr>
              <w:t>中标人不履行与采购人人订立的合同的，履约保证金不予退还</w:t>
            </w:r>
            <w:r>
              <w:rPr>
                <w:rFonts w:hint="eastAsia"/>
                <w:sz w:val="21"/>
                <w:szCs w:val="21"/>
              </w:rPr>
              <w:t>。</w:t>
            </w:r>
          </w:p>
          <w:p>
            <w:pPr>
              <w:pStyle w:val="65"/>
              <w:spacing w:after="120" w:afterLines="50" w:line="288" w:lineRule="auto"/>
              <w:ind w:left="105" w:leftChars="50" w:right="105" w:rightChars="50"/>
              <w:rPr>
                <w:sz w:val="21"/>
                <w:szCs w:val="21"/>
              </w:rPr>
            </w:pPr>
            <w:r>
              <w:rPr>
                <w:rFonts w:hint="eastAsia"/>
                <w:sz w:val="21"/>
                <w:szCs w:val="21"/>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1985" w:type="dxa"/>
            <w:tcBorders>
              <w:top w:val="single" w:color="auto" w:sz="4" w:space="0"/>
              <w:bottom w:val="single" w:color="auto" w:sz="4" w:space="0"/>
            </w:tcBorders>
            <w:vAlign w:val="center"/>
          </w:tcPr>
          <w:p>
            <w:pPr>
              <w:pStyle w:val="65"/>
              <w:spacing w:line="360" w:lineRule="auto"/>
              <w:jc w:val="center"/>
              <w:rPr>
                <w:rFonts w:cs="Times New Roman"/>
                <w:kern w:val="2"/>
                <w:sz w:val="21"/>
                <w:szCs w:val="21"/>
              </w:rPr>
            </w:pPr>
            <w:r>
              <w:rPr>
                <w:rFonts w:hint="eastAsia" w:cs="Times New Roman"/>
                <w:bCs/>
                <w:kern w:val="2"/>
                <w:sz w:val="21"/>
                <w:szCs w:val="21"/>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1985" w:type="dxa"/>
            <w:tcBorders>
              <w:top w:val="single" w:color="auto" w:sz="4" w:space="0"/>
              <w:bottom w:val="single" w:color="auto" w:sz="4" w:space="0"/>
            </w:tcBorders>
            <w:vAlign w:val="center"/>
          </w:tcPr>
          <w:p>
            <w:pPr>
              <w:pStyle w:val="65"/>
              <w:spacing w:line="360" w:lineRule="auto"/>
              <w:jc w:val="center"/>
              <w:rPr>
                <w:rFonts w:cs="Times New Roman"/>
                <w:kern w:val="2"/>
                <w:sz w:val="21"/>
                <w:szCs w:val="21"/>
              </w:rPr>
            </w:pPr>
            <w:r>
              <w:rPr>
                <w:rFonts w:hint="eastAsia" w:cs="Times New Roman"/>
                <w:kern w:val="2"/>
                <w:sz w:val="21"/>
                <w:szCs w:val="21"/>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1985" w:type="dxa"/>
            <w:tcBorders>
              <w:top w:val="single" w:color="auto" w:sz="4" w:space="0"/>
              <w:bottom w:val="single" w:color="auto" w:sz="4" w:space="0"/>
            </w:tcBorders>
            <w:vAlign w:val="center"/>
          </w:tcPr>
          <w:p>
            <w:pPr>
              <w:pStyle w:val="65"/>
              <w:spacing w:line="360" w:lineRule="auto"/>
              <w:jc w:val="center"/>
              <w:rPr>
                <w:sz w:val="21"/>
                <w:szCs w:val="21"/>
              </w:rPr>
            </w:pPr>
            <w:r>
              <w:rPr>
                <w:rFonts w:hint="eastAsia"/>
                <w:sz w:val="21"/>
                <w:szCs w:val="21"/>
              </w:rPr>
              <w:t>谈判情况公告</w:t>
            </w:r>
          </w:p>
        </w:tc>
        <w:tc>
          <w:tcPr>
            <w:tcW w:w="6678" w:type="dxa"/>
            <w:tcBorders>
              <w:top w:val="single" w:color="auto" w:sz="4" w:space="0"/>
              <w:bottom w:val="single" w:color="auto" w:sz="4" w:space="0"/>
            </w:tcBorders>
            <w:vAlign w:val="center"/>
          </w:tcPr>
          <w:p>
            <w:pPr>
              <w:pStyle w:val="65"/>
              <w:spacing w:after="120" w:afterLines="50" w:line="288" w:lineRule="auto"/>
              <w:ind w:left="105" w:leftChars="50" w:right="105" w:rightChars="50"/>
              <w:rPr>
                <w:sz w:val="21"/>
                <w:szCs w:val="21"/>
              </w:rPr>
            </w:pPr>
            <w:r>
              <w:rPr>
                <w:rFonts w:hint="eastAsia"/>
                <w:sz w:val="21"/>
                <w:szCs w:val="21"/>
              </w:rPr>
              <w:t>供应商谈判结果在</w:t>
            </w:r>
            <w:r>
              <w:rPr>
                <w:rFonts w:hint="eastAsia" w:hAnsi="宋体"/>
                <w:bCs/>
                <w:sz w:val="21"/>
                <w:szCs w:val="21"/>
                <w:u w:val="single"/>
                <w:lang w:val="en-US" w:eastAsia="zh-CN"/>
              </w:rPr>
              <w:t>四川省都江堰水利发展中心人民渠第一管理处官网</w:t>
            </w:r>
            <w:r>
              <w:rPr>
                <w:rFonts w:hint="eastAsia"/>
                <w:sz w:val="21"/>
                <w:szCs w:val="21"/>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1985" w:type="dxa"/>
            <w:tcBorders>
              <w:top w:val="single" w:color="auto" w:sz="4" w:space="0"/>
            </w:tcBorders>
            <w:vAlign w:val="center"/>
          </w:tcPr>
          <w:p>
            <w:pPr>
              <w:spacing w:line="360" w:lineRule="auto"/>
              <w:ind w:left="105" w:leftChars="50" w:right="105" w:rightChars="50"/>
              <w:jc w:val="center"/>
              <w:rPr>
                <w:rFonts w:ascii="宋体" w:hAnsi="宋体"/>
                <w:szCs w:val="21"/>
              </w:rPr>
            </w:pPr>
            <w:r>
              <w:rPr>
                <w:rFonts w:hint="eastAsia" w:ascii="宋体" w:hAnsi="宋体"/>
                <w:szCs w:val="21"/>
              </w:rPr>
              <w:t>成交通知书领取</w:t>
            </w:r>
          </w:p>
        </w:tc>
        <w:tc>
          <w:tcPr>
            <w:tcW w:w="6678" w:type="dxa"/>
            <w:tcBorders>
              <w:top w:val="single" w:color="auto" w:sz="4" w:space="0"/>
            </w:tcBorders>
            <w:vAlign w:val="center"/>
          </w:tcPr>
          <w:p>
            <w:pPr>
              <w:tabs>
                <w:tab w:val="left" w:pos="7665"/>
              </w:tabs>
              <w:spacing w:after="120" w:afterLines="50" w:line="288" w:lineRule="auto"/>
              <w:ind w:left="105" w:leftChars="50" w:right="105" w:rightChars="50"/>
              <w:jc w:val="left"/>
              <w:rPr>
                <w:rFonts w:ascii="宋体" w:hAnsi="宋体"/>
                <w:szCs w:val="21"/>
              </w:rPr>
            </w:pPr>
            <w:r>
              <w:rPr>
                <w:rFonts w:hint="eastAsia" w:ascii="宋体" w:hAnsi="宋体"/>
                <w:szCs w:val="21"/>
              </w:rPr>
              <w:t>结果公告在</w:t>
            </w:r>
            <w:r>
              <w:rPr>
                <w:rFonts w:hint="eastAsia" w:hAnsi="宋体"/>
                <w:bCs/>
                <w:sz w:val="21"/>
                <w:szCs w:val="21"/>
                <w:u w:val="single"/>
                <w:lang w:val="en-US" w:eastAsia="zh-CN"/>
              </w:rPr>
              <w:t>四川省都江堰水利发展中心人民渠第一管理处官网</w:t>
            </w:r>
            <w:r>
              <w:rPr>
                <w:rFonts w:hint="eastAsia" w:ascii="宋体" w:hAnsi="宋体"/>
                <w:szCs w:val="21"/>
              </w:rPr>
              <w:t>公告后，请成交人凭有效身份证明证件到</w:t>
            </w:r>
            <w:r>
              <w:rPr>
                <w:rFonts w:hint="eastAsia" w:ascii="宋体" w:hAnsi="宋体"/>
                <w:szCs w:val="21"/>
                <w:lang w:val="en-US" w:eastAsia="zh-CN"/>
              </w:rPr>
              <w:t>采购人</w:t>
            </w:r>
            <w:r>
              <w:rPr>
                <w:rFonts w:hint="eastAsia" w:ascii="宋体" w:hAnsi="宋体"/>
                <w:szCs w:val="21"/>
              </w:rPr>
              <w:t>领取成交通知书。</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联系人及联系电话详见本表第2项。</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highlight w:val="none"/>
                <w:lang w:val="zh-CN"/>
              </w:rPr>
              <w:t>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1985" w:type="dxa"/>
            <w:tcBorders>
              <w:top w:val="single" w:color="auto" w:sz="4" w:space="0"/>
            </w:tcBorders>
            <w:vAlign w:val="center"/>
          </w:tcPr>
          <w:p>
            <w:pPr>
              <w:pStyle w:val="65"/>
              <w:spacing w:line="360" w:lineRule="auto"/>
              <w:jc w:val="center"/>
              <w:rPr>
                <w:rFonts w:cs="Times New Roman"/>
                <w:kern w:val="2"/>
                <w:sz w:val="21"/>
                <w:szCs w:val="21"/>
              </w:rPr>
            </w:pPr>
            <w:r>
              <w:rPr>
                <w:rFonts w:hint="eastAsia" w:cs="Times New Roman"/>
                <w:kern w:val="2"/>
                <w:sz w:val="21"/>
                <w:szCs w:val="21"/>
              </w:rPr>
              <w:t>供应商询问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16</w:t>
            </w:r>
          </w:p>
        </w:tc>
        <w:tc>
          <w:tcPr>
            <w:tcW w:w="1985" w:type="dxa"/>
            <w:vAlign w:val="center"/>
          </w:tcPr>
          <w:p>
            <w:pPr>
              <w:pStyle w:val="65"/>
              <w:spacing w:line="360" w:lineRule="auto"/>
              <w:jc w:val="center"/>
              <w:rPr>
                <w:rFonts w:cs="Times New Roman"/>
                <w:kern w:val="2"/>
                <w:sz w:val="21"/>
                <w:szCs w:val="21"/>
              </w:rPr>
            </w:pPr>
            <w:r>
              <w:rPr>
                <w:rFonts w:hint="eastAsia" w:cs="Times New Roman"/>
                <w:kern w:val="2"/>
                <w:sz w:val="21"/>
                <w:szCs w:val="21"/>
              </w:rPr>
              <w:t>供应商质疑</w:t>
            </w:r>
          </w:p>
        </w:tc>
        <w:tc>
          <w:tcPr>
            <w:tcW w:w="6678" w:type="dxa"/>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根据委托代理协议约定，供应商质疑由</w:t>
            </w:r>
            <w:r>
              <w:rPr>
                <w:rFonts w:hint="eastAsia" w:ascii="宋体" w:hAnsi="宋体"/>
                <w:szCs w:val="21"/>
                <w:lang w:val="zh-CN"/>
              </w:rPr>
              <w:t>采购代理机构负责答复。</w:t>
            </w:r>
            <w:r>
              <w:rPr>
                <w:rFonts w:hint="eastAsia"/>
                <w:b/>
              </w:rPr>
              <w:t>质疑必须以书面形式（原件）提出，以其他形式提出的质疑均不接受和回复。</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联系人、联系电话及地址详见本表第2项。</w:t>
            </w:r>
          </w:p>
          <w:p>
            <w:pPr>
              <w:spacing w:after="120" w:afterLines="50" w:line="288" w:lineRule="auto"/>
              <w:ind w:left="105" w:leftChars="50" w:right="105" w:rightChars="50"/>
              <w:jc w:val="left"/>
              <w:rPr>
                <w:rFonts w:ascii="宋体" w:hAnsi="宋体"/>
                <w:szCs w:val="21"/>
              </w:rPr>
            </w:pPr>
            <w:r>
              <w:rPr>
                <w:rFonts w:hint="eastAsia" w:ascii="宋体" w:hAnsi="宋体"/>
                <w:szCs w:val="21"/>
                <w:lang w:val="zh-CN"/>
              </w:rPr>
              <w:t>注：供应商质疑不得超出谈判文件、谈判过程、谈判结果的范围，供应商针对同一采购程序环节的质疑应在法定质疑期内一次性提出。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17</w:t>
            </w:r>
          </w:p>
        </w:tc>
        <w:tc>
          <w:tcPr>
            <w:tcW w:w="1985" w:type="dxa"/>
            <w:tcBorders>
              <w:right w:val="single" w:color="auto" w:sz="4" w:space="0"/>
            </w:tcBorders>
            <w:vAlign w:val="center"/>
          </w:tcPr>
          <w:p>
            <w:pPr>
              <w:pStyle w:val="65"/>
              <w:spacing w:line="360" w:lineRule="auto"/>
              <w:ind w:left="96"/>
              <w:jc w:val="center"/>
              <w:rPr>
                <w:sz w:val="21"/>
                <w:szCs w:val="21"/>
              </w:rPr>
            </w:pPr>
            <w:r>
              <w:rPr>
                <w:rFonts w:hint="eastAsia"/>
                <w:sz w:val="21"/>
                <w:szCs w:val="21"/>
                <w:lang w:val="zh-CN"/>
              </w:rPr>
              <w:t>采购代理服务费</w:t>
            </w:r>
          </w:p>
        </w:tc>
        <w:tc>
          <w:tcPr>
            <w:tcW w:w="6678" w:type="dxa"/>
            <w:tcBorders>
              <w:left w:val="single" w:color="auto" w:sz="4" w:space="0"/>
            </w:tcBorders>
            <w:vAlign w:val="center"/>
          </w:tcPr>
          <w:p>
            <w:pPr>
              <w:pStyle w:val="65"/>
              <w:spacing w:after="120" w:afterLines="50" w:line="288" w:lineRule="auto"/>
              <w:ind w:left="105" w:leftChars="50" w:right="105" w:rightChars="50"/>
              <w:rPr>
                <w:rFonts w:hint="eastAsia" w:eastAsia="宋体"/>
                <w:sz w:val="21"/>
                <w:szCs w:val="21"/>
                <w:highlight w:val="yellow"/>
                <w:lang w:val="zh-CN" w:eastAsia="zh-CN"/>
              </w:rPr>
            </w:pPr>
            <w:r>
              <w:rPr>
                <w:rFonts w:hint="eastAsia"/>
                <w:sz w:val="21"/>
                <w:szCs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18</w:t>
            </w:r>
          </w:p>
        </w:tc>
        <w:tc>
          <w:tcPr>
            <w:tcW w:w="1985"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eastAsia="宋体"/>
                <w:szCs w:val="21"/>
                <w:lang w:eastAsia="zh-CN"/>
              </w:rPr>
            </w:pPr>
            <w:r>
              <w:rPr>
                <w:rFonts w:hint="eastAsia" w:ascii="宋体" w:hAnsi="宋体"/>
                <w:szCs w:val="21"/>
                <w:lang w:val="en-US" w:eastAsia="zh-CN"/>
              </w:rPr>
              <w:t>/</w:t>
            </w:r>
          </w:p>
        </w:tc>
      </w:tr>
    </w:tbl>
    <w:p>
      <w:pPr>
        <w:rPr>
          <w:rFonts w:ascii="宋体" w:hAnsi="宋体"/>
        </w:rPr>
      </w:pPr>
    </w:p>
    <w:p>
      <w:pPr>
        <w:pStyle w:val="4"/>
        <w:spacing w:line="400" w:lineRule="exact"/>
        <w:jc w:val="center"/>
        <w:rPr>
          <w:rFonts w:ascii="宋体" w:hAnsi="宋体" w:eastAsia="宋体"/>
          <w:bCs w:val="0"/>
        </w:rPr>
      </w:pPr>
      <w:r>
        <w:rPr>
          <w:rFonts w:hint="eastAsia" w:ascii="宋体" w:hAnsi="宋体" w:eastAsia="宋体"/>
          <w:bCs w:val="0"/>
        </w:rPr>
        <w:t>二、总  则</w:t>
      </w:r>
    </w:p>
    <w:p>
      <w:pPr>
        <w:pStyle w:val="5"/>
        <w:keepNext w:val="0"/>
        <w:keepLines w:val="0"/>
        <w:spacing w:before="0" w:after="0" w:line="360" w:lineRule="auto"/>
        <w:ind w:firstLine="482" w:firstLineChars="200"/>
        <w:rPr>
          <w:rFonts w:ascii="宋体" w:hAnsi="宋体"/>
          <w:sz w:val="24"/>
          <w:szCs w:val="24"/>
        </w:rPr>
      </w:pPr>
      <w:bookmarkStart w:id="17" w:name="PO_默认文件内容_23"/>
      <w:r>
        <w:rPr>
          <w:rFonts w:ascii="宋体" w:hAnsi="宋体" w:cs="仿宋"/>
          <w:sz w:val="24"/>
          <w:szCs w:val="24"/>
        </w:rPr>
        <w:t>1.</w:t>
      </w:r>
      <w:r>
        <w:rPr>
          <w:rFonts w:hint="eastAsia" w:ascii="宋体" w:hAnsi="宋体" w:cs="仿宋"/>
          <w:sz w:val="24"/>
          <w:szCs w:val="24"/>
        </w:rPr>
        <w:t>适用范围</w:t>
      </w:r>
    </w:p>
    <w:p>
      <w:pPr>
        <w:tabs>
          <w:tab w:val="left" w:pos="7665"/>
        </w:tabs>
        <w:spacing w:line="360" w:lineRule="auto"/>
        <w:ind w:firstLine="480" w:firstLineChars="200"/>
        <w:rPr>
          <w:rFonts w:ascii="宋体" w:hAnsi="宋体"/>
          <w:sz w:val="24"/>
        </w:rPr>
      </w:pPr>
      <w:r>
        <w:rPr>
          <w:rFonts w:ascii="宋体" w:hAnsi="宋体" w:cs="仿宋"/>
          <w:sz w:val="24"/>
        </w:rPr>
        <w:t xml:space="preserve">1.1 </w:t>
      </w:r>
      <w:r>
        <w:rPr>
          <w:rFonts w:hint="eastAsia" w:ascii="宋体" w:hAnsi="宋体" w:cs="仿宋"/>
          <w:sz w:val="24"/>
        </w:rPr>
        <w:t>本谈判文件仅适用于本次谈判采购项目。</w:t>
      </w:r>
    </w:p>
    <w:p>
      <w:pPr>
        <w:tabs>
          <w:tab w:val="left" w:pos="7665"/>
        </w:tabs>
        <w:spacing w:line="360" w:lineRule="auto"/>
        <w:ind w:firstLine="480" w:firstLineChars="200"/>
        <w:rPr>
          <w:rFonts w:ascii="宋体" w:hAnsi="宋体"/>
          <w:sz w:val="24"/>
        </w:rPr>
      </w:pPr>
      <w:r>
        <w:rPr>
          <w:rFonts w:ascii="宋体" w:hAnsi="宋体" w:cs="仿宋"/>
          <w:sz w:val="24"/>
        </w:rPr>
        <w:t xml:space="preserve">1.2 </w:t>
      </w:r>
      <w:r>
        <w:rPr>
          <w:rFonts w:hint="eastAsia" w:ascii="宋体" w:hAnsi="宋体" w:cs="仿宋"/>
          <w:sz w:val="24"/>
        </w:rPr>
        <w:t>本谈判文件的解释权归采购人和采购代理机构所有。</w:t>
      </w:r>
      <w:bookmarkEnd w:id="17"/>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rPr>
        <w:t>2.</w:t>
      </w:r>
      <w:r>
        <w:rPr>
          <w:rFonts w:hint="eastAsia" w:ascii="宋体" w:hAnsi="宋体" w:cs="仿宋"/>
          <w:sz w:val="24"/>
          <w:szCs w:val="24"/>
        </w:rPr>
        <w:t>采购主体</w:t>
      </w:r>
    </w:p>
    <w:p>
      <w:pPr>
        <w:tabs>
          <w:tab w:val="left" w:pos="7665"/>
        </w:tabs>
        <w:spacing w:line="360" w:lineRule="auto"/>
        <w:ind w:firstLine="480" w:firstLineChars="200"/>
        <w:rPr>
          <w:rFonts w:hint="eastAsia" w:ascii="宋体" w:hAnsi="宋体" w:eastAsia="宋体"/>
          <w:sz w:val="24"/>
          <w:highlight w:val="none"/>
          <w:lang w:eastAsia="zh-CN"/>
        </w:rPr>
      </w:pPr>
      <w:r>
        <w:rPr>
          <w:rFonts w:ascii="宋体" w:hAnsi="宋体" w:cs="仿宋"/>
          <w:sz w:val="24"/>
          <w:highlight w:val="none"/>
        </w:rPr>
        <w:t>2.1</w:t>
      </w:r>
      <w:r>
        <w:rPr>
          <w:rFonts w:hint="eastAsia" w:ascii="宋体" w:hAnsi="宋体" w:cs="仿宋"/>
          <w:sz w:val="24"/>
          <w:highlight w:val="none"/>
        </w:rPr>
        <w:t>本次谈判的采</w:t>
      </w:r>
      <w:r>
        <w:rPr>
          <w:rFonts w:hint="eastAsia" w:ascii="宋体" w:hAnsi="宋体" w:eastAsia="宋体" w:cs="仿宋"/>
          <w:sz w:val="24"/>
          <w:highlight w:val="none"/>
        </w:rPr>
        <w:t>购人是</w:t>
      </w:r>
      <w:r>
        <w:rPr>
          <w:rFonts w:hint="eastAsia" w:ascii="宋体" w:hAnsi="宋体" w:eastAsia="宋体" w:cs="仿宋"/>
          <w:sz w:val="24"/>
          <w:highlight w:val="none"/>
          <w:u w:val="single"/>
          <w:lang w:val="en-US" w:eastAsia="zh-CN"/>
        </w:rPr>
        <w:t>四川省都江堰水利发展中心</w:t>
      </w:r>
      <w:r>
        <w:rPr>
          <w:rFonts w:hint="eastAsia" w:ascii="宋体" w:hAnsi="宋体" w:eastAsia="宋体" w:cs="仿宋"/>
          <w:sz w:val="24"/>
          <w:highlight w:val="none"/>
          <w:lang w:eastAsia="zh-CN"/>
        </w:rPr>
        <w:t>。</w:t>
      </w:r>
    </w:p>
    <w:p>
      <w:pPr>
        <w:tabs>
          <w:tab w:val="left" w:pos="7665"/>
        </w:tabs>
        <w:spacing w:line="360" w:lineRule="auto"/>
        <w:ind w:firstLine="480" w:firstLineChars="200"/>
        <w:rPr>
          <w:rFonts w:ascii="宋体" w:hAnsi="宋体"/>
          <w:sz w:val="24"/>
        </w:rPr>
      </w:pPr>
      <w:bookmarkStart w:id="18" w:name="PO_默认文件内容_24"/>
      <w:r>
        <w:rPr>
          <w:rFonts w:ascii="宋体" w:hAnsi="宋体" w:cs="仿宋"/>
          <w:sz w:val="24"/>
        </w:rPr>
        <w:t>2.2</w:t>
      </w:r>
      <w:r>
        <w:rPr>
          <w:rFonts w:hint="eastAsia" w:ascii="宋体" w:hAnsi="宋体" w:cs="仿宋"/>
          <w:sz w:val="24"/>
        </w:rPr>
        <w:t>本次谈判的采购代理机构是</w:t>
      </w:r>
      <w:r>
        <w:rPr>
          <w:rFonts w:hint="eastAsia" w:ascii="宋体" w:hAnsi="宋体" w:cs="仿宋"/>
          <w:sz w:val="24"/>
          <w:u w:val="single"/>
          <w:lang w:val="en-US" w:eastAsia="zh-CN"/>
        </w:rPr>
        <w:t xml:space="preserve">  </w:t>
      </w:r>
      <w:r>
        <w:rPr>
          <w:rFonts w:hint="eastAsia" w:ascii="宋体" w:hAnsi="宋体" w:cs="黑体"/>
          <w:sz w:val="24"/>
          <w:u w:val="single"/>
          <w:lang w:val="en-US" w:eastAsia="zh-CN"/>
        </w:rPr>
        <w:t xml:space="preserve">/  </w:t>
      </w:r>
      <w:r>
        <w:rPr>
          <w:rFonts w:hint="eastAsia" w:ascii="宋体" w:hAnsi="宋体" w:cs="仿宋"/>
          <w:sz w:val="24"/>
        </w:rPr>
        <w:t>。</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3. </w:t>
      </w:r>
      <w:r>
        <w:rPr>
          <w:rFonts w:hint="eastAsia" w:ascii="宋体" w:hAnsi="宋体" w:cs="仿宋"/>
          <w:sz w:val="24"/>
          <w:szCs w:val="24"/>
        </w:rPr>
        <w:t>合格供应商</w:t>
      </w:r>
    </w:p>
    <w:p>
      <w:pPr>
        <w:tabs>
          <w:tab w:val="left" w:pos="7665"/>
        </w:tabs>
        <w:spacing w:line="360" w:lineRule="auto"/>
        <w:ind w:firstLine="480" w:firstLineChars="200"/>
        <w:rPr>
          <w:rFonts w:ascii="宋体" w:hAnsi="宋体"/>
          <w:sz w:val="24"/>
        </w:rPr>
      </w:pPr>
      <w:r>
        <w:rPr>
          <w:rFonts w:hint="eastAsia" w:ascii="宋体" w:hAnsi="宋体" w:cs="仿宋"/>
          <w:sz w:val="24"/>
        </w:rPr>
        <w:t>合格供应商应具备以下条件：</w:t>
      </w:r>
    </w:p>
    <w:p>
      <w:pPr>
        <w:tabs>
          <w:tab w:val="left" w:pos="7665"/>
        </w:tabs>
        <w:spacing w:line="360" w:lineRule="auto"/>
        <w:ind w:firstLine="480" w:firstLineChars="200"/>
        <w:rPr>
          <w:rFonts w:ascii="宋体" w:hAnsi="宋体"/>
          <w:spacing w:val="-4"/>
          <w:sz w:val="24"/>
        </w:rPr>
      </w:pPr>
      <w:r>
        <w:rPr>
          <w:rFonts w:ascii="宋体" w:hAnsi="宋体" w:cs="仿宋"/>
          <w:sz w:val="24"/>
        </w:rPr>
        <w:t xml:space="preserve">3.1 </w:t>
      </w:r>
      <w:r>
        <w:rPr>
          <w:rFonts w:hint="eastAsia" w:ascii="宋体" w:hAnsi="宋体" w:cs="仿宋"/>
          <w:sz w:val="24"/>
        </w:rPr>
        <w:t>具备法律法规和本采购文件规定的资格条件</w:t>
      </w:r>
      <w:r>
        <w:rPr>
          <w:rFonts w:hint="eastAsia" w:ascii="宋体" w:hAnsi="宋体" w:cs="仿宋"/>
          <w:spacing w:val="-4"/>
          <w:sz w:val="24"/>
        </w:rPr>
        <w:t>；</w:t>
      </w:r>
    </w:p>
    <w:p>
      <w:pPr>
        <w:tabs>
          <w:tab w:val="left" w:pos="7665"/>
        </w:tabs>
        <w:spacing w:line="360" w:lineRule="auto"/>
        <w:ind w:firstLine="464" w:firstLineChars="200"/>
        <w:rPr>
          <w:rFonts w:ascii="宋体" w:hAnsi="宋体" w:cs="仿宋"/>
          <w:spacing w:val="-4"/>
          <w:sz w:val="24"/>
        </w:rPr>
      </w:pPr>
      <w:r>
        <w:rPr>
          <w:rFonts w:ascii="宋体" w:hAnsi="宋体" w:cs="仿宋"/>
          <w:spacing w:val="-4"/>
          <w:sz w:val="24"/>
        </w:rPr>
        <w:t xml:space="preserve">3.2 </w:t>
      </w:r>
      <w:r>
        <w:rPr>
          <w:rFonts w:hint="eastAsia" w:ascii="宋体" w:hAnsi="宋体" w:cs="仿宋"/>
          <w:spacing w:val="-4"/>
          <w:sz w:val="24"/>
        </w:rPr>
        <w:t>不属于禁止参加本项目采购活动的供应商。</w:t>
      </w:r>
    </w:p>
    <w:p>
      <w:pPr>
        <w:pStyle w:val="5"/>
        <w:keepNext w:val="0"/>
        <w:keepLines w:val="0"/>
        <w:spacing w:before="0" w:after="0" w:line="360" w:lineRule="auto"/>
        <w:ind w:firstLine="480" w:firstLineChars="200"/>
        <w:rPr>
          <w:rFonts w:ascii="宋体" w:hAnsi="宋体" w:cs="仿宋"/>
          <w:b w:val="0"/>
          <w:bCs w:val="0"/>
          <w:sz w:val="24"/>
          <w:szCs w:val="24"/>
        </w:rPr>
      </w:pPr>
      <w:r>
        <w:rPr>
          <w:rFonts w:hint="eastAsia" w:ascii="宋体" w:hAnsi="宋体" w:cs="仿宋"/>
          <w:b w:val="0"/>
          <w:bCs w:val="0"/>
          <w:sz w:val="24"/>
          <w:szCs w:val="24"/>
        </w:rPr>
        <w:t>3.3 按照规定获取了谈判文件，属于实质性参加采购活动的供应商。</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4. </w:t>
      </w:r>
      <w:r>
        <w:rPr>
          <w:rFonts w:hint="eastAsia" w:ascii="宋体" w:hAnsi="宋体" w:cs="仿宋"/>
          <w:sz w:val="24"/>
          <w:szCs w:val="24"/>
        </w:rPr>
        <w:t>谈判费用</w:t>
      </w:r>
    </w:p>
    <w:p>
      <w:pPr>
        <w:tabs>
          <w:tab w:val="left" w:pos="7665"/>
        </w:tabs>
        <w:spacing w:line="360" w:lineRule="auto"/>
        <w:ind w:firstLine="480"/>
        <w:rPr>
          <w:rFonts w:ascii="宋体" w:hAnsi="宋体"/>
          <w:sz w:val="24"/>
        </w:rPr>
      </w:pPr>
      <w:r>
        <w:rPr>
          <w:rFonts w:hint="eastAsia" w:ascii="宋体" w:hAnsi="宋体" w:cs="仿宋"/>
          <w:sz w:val="24"/>
        </w:rPr>
        <w:t>供应商应自行承担参加谈判活动的全部费用。</w:t>
      </w:r>
    </w:p>
    <w:p>
      <w:pPr>
        <w:pStyle w:val="66"/>
        <w:spacing w:line="360" w:lineRule="auto"/>
        <w:ind w:left="1" w:firstLine="482" w:firstLineChars="200"/>
        <w:rPr>
          <w:rFonts w:hAnsi="宋体"/>
          <w:b/>
          <w:bCs/>
          <w:sz w:val="24"/>
          <w:szCs w:val="24"/>
        </w:rPr>
      </w:pPr>
      <w:r>
        <w:rPr>
          <w:rFonts w:hAnsi="宋体" w:cs="仿宋"/>
          <w:b/>
          <w:bCs/>
          <w:sz w:val="24"/>
          <w:szCs w:val="24"/>
        </w:rPr>
        <w:t>5.</w:t>
      </w:r>
      <w:r>
        <w:rPr>
          <w:rFonts w:hint="eastAsia" w:hAnsi="宋体" w:cs="仿宋"/>
          <w:b/>
          <w:bCs/>
          <w:sz w:val="24"/>
          <w:szCs w:val="24"/>
        </w:rPr>
        <w:t>充分、公平竞争保障措施（实质性要求）</w:t>
      </w:r>
    </w:p>
    <w:p>
      <w:pPr>
        <w:pStyle w:val="66"/>
        <w:spacing w:line="360" w:lineRule="auto"/>
        <w:ind w:left="1" w:firstLine="480" w:firstLineChars="200"/>
        <w:rPr>
          <w:rFonts w:hAnsi="宋体"/>
          <w:sz w:val="24"/>
          <w:szCs w:val="24"/>
        </w:rPr>
      </w:pPr>
      <w:r>
        <w:rPr>
          <w:rFonts w:hAnsi="宋体" w:cs="仿宋"/>
          <w:sz w:val="24"/>
          <w:szCs w:val="24"/>
        </w:rPr>
        <w:t>5.1</w:t>
      </w:r>
      <w:r>
        <w:rPr>
          <w:rFonts w:hint="eastAsia" w:hAnsi="宋体" w:cs="仿宋"/>
          <w:sz w:val="24"/>
          <w:szCs w:val="24"/>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66"/>
        <w:spacing w:line="360" w:lineRule="auto"/>
        <w:ind w:left="1" w:firstLine="480" w:firstLineChars="200"/>
        <w:rPr>
          <w:rFonts w:hAnsi="宋体"/>
          <w:sz w:val="24"/>
          <w:szCs w:val="24"/>
        </w:rPr>
      </w:pPr>
      <w:r>
        <w:rPr>
          <w:rFonts w:hAnsi="宋体" w:cs="仿宋"/>
          <w:sz w:val="24"/>
          <w:szCs w:val="24"/>
        </w:rPr>
        <w:t>5.2</w:t>
      </w:r>
      <w:r>
        <w:rPr>
          <w:rFonts w:hint="eastAsia" w:hAnsi="宋体" w:cs="仿宋"/>
          <w:sz w:val="24"/>
          <w:szCs w:val="24"/>
        </w:rPr>
        <w:t>利害关系授权代表处理。两家以上的供应商不得在同一合同项下的采购项目中，委托同一个自然人、同一家庭的人员、同一单位的人员作为其授权代表，否则，其响应文件作为无效处理。</w:t>
      </w:r>
    </w:p>
    <w:p>
      <w:pPr>
        <w:pStyle w:val="66"/>
        <w:spacing w:line="360" w:lineRule="auto"/>
        <w:ind w:left="1" w:firstLine="480" w:firstLineChars="200"/>
        <w:rPr>
          <w:rFonts w:hAnsi="宋体"/>
          <w:sz w:val="24"/>
          <w:szCs w:val="24"/>
        </w:rPr>
      </w:pPr>
      <w:r>
        <w:rPr>
          <w:rFonts w:hAnsi="宋体" w:cs="仿宋"/>
          <w:sz w:val="24"/>
          <w:szCs w:val="24"/>
        </w:rPr>
        <w:t>5.3</w:t>
      </w:r>
      <w:r>
        <w:rPr>
          <w:rFonts w:hint="eastAsia" w:hAnsi="宋体" w:cs="仿宋"/>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66"/>
        <w:spacing w:line="360" w:lineRule="auto"/>
        <w:ind w:left="1" w:firstLine="480" w:firstLineChars="200"/>
        <w:rPr>
          <w:rFonts w:hAnsi="宋体"/>
          <w:sz w:val="24"/>
          <w:szCs w:val="24"/>
        </w:rPr>
      </w:pPr>
      <w:r>
        <w:rPr>
          <w:rFonts w:hAnsi="宋体" w:cs="仿宋"/>
          <w:sz w:val="24"/>
          <w:szCs w:val="24"/>
        </w:rPr>
        <w:t>5.4</w:t>
      </w:r>
      <w:r>
        <w:rPr>
          <w:rFonts w:hint="eastAsia" w:hAnsi="宋体" w:cs="仿宋"/>
          <w:sz w:val="24"/>
          <w:szCs w:val="24"/>
        </w:rPr>
        <w:t>供应商实际控制人或者中高级管理人员，同时是采购代理机构工作人员，不得参与本项目采购活动。</w:t>
      </w:r>
    </w:p>
    <w:p>
      <w:pPr>
        <w:spacing w:line="360" w:lineRule="auto"/>
        <w:ind w:firstLine="480" w:firstLineChars="200"/>
        <w:rPr>
          <w:rFonts w:ascii="宋体" w:hAnsi="宋体"/>
          <w:sz w:val="24"/>
        </w:rPr>
      </w:pPr>
      <w:r>
        <w:rPr>
          <w:rFonts w:ascii="宋体" w:hAnsi="宋体" w:cs="仿宋"/>
          <w:sz w:val="24"/>
        </w:rPr>
        <w:t>5.5</w:t>
      </w:r>
      <w:r>
        <w:rPr>
          <w:rFonts w:hint="eastAsia" w:ascii="宋体" w:hAnsi="宋体" w:cs="仿宋"/>
          <w:sz w:val="24"/>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sz w:val="24"/>
        </w:rPr>
      </w:pPr>
      <w:r>
        <w:rPr>
          <w:rFonts w:ascii="宋体" w:hAnsi="宋体" w:cs="仿宋"/>
          <w:sz w:val="24"/>
        </w:rPr>
        <w:t>5.6</w:t>
      </w:r>
      <w:r>
        <w:rPr>
          <w:rFonts w:hint="eastAsia" w:ascii="宋体" w:hAnsi="宋体" w:cs="仿宋"/>
          <w:sz w:val="24"/>
        </w:rPr>
        <w:t>供应商与采购代理机构存在关联关系，或者是采购代理机构的母公司或子公司，不得参加本项目采购活动。</w:t>
      </w:r>
    </w:p>
    <w:p>
      <w:pPr>
        <w:pStyle w:val="66"/>
        <w:spacing w:line="360" w:lineRule="auto"/>
        <w:ind w:left="1" w:firstLine="480" w:firstLineChars="200"/>
        <w:rPr>
          <w:rFonts w:hAnsi="宋体"/>
          <w:sz w:val="24"/>
          <w:szCs w:val="24"/>
        </w:rPr>
      </w:pPr>
      <w:r>
        <w:rPr>
          <w:rFonts w:hAnsi="宋体" w:cs="仿宋"/>
          <w:sz w:val="24"/>
          <w:szCs w:val="24"/>
        </w:rPr>
        <w:t>5.7</w:t>
      </w:r>
      <w:r>
        <w:rPr>
          <w:rFonts w:hint="eastAsia" w:hAnsi="宋体" w:cs="仿宋"/>
          <w:sz w:val="24"/>
          <w:szCs w:val="24"/>
        </w:rPr>
        <w:t>回避。采购活动中，采购人员及相关人员与供应商有下列利害关系之一的，应当回避：</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1</w:t>
      </w:r>
      <w:r>
        <w:rPr>
          <w:rFonts w:hint="eastAsia" w:hAnsi="宋体" w:cs="仿宋"/>
          <w:sz w:val="24"/>
          <w:szCs w:val="24"/>
        </w:rPr>
        <w:t>）参加采购活动前</w:t>
      </w:r>
      <w:r>
        <w:rPr>
          <w:rFonts w:hAnsi="宋体" w:cs="仿宋"/>
          <w:sz w:val="24"/>
          <w:szCs w:val="24"/>
        </w:rPr>
        <w:t>3</w:t>
      </w:r>
      <w:r>
        <w:rPr>
          <w:rFonts w:hint="eastAsia" w:hAnsi="宋体" w:cs="仿宋"/>
          <w:sz w:val="24"/>
          <w:szCs w:val="24"/>
        </w:rPr>
        <w:t>年内与供应商存在劳动关系；</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2</w:t>
      </w:r>
      <w:r>
        <w:rPr>
          <w:rFonts w:hint="eastAsia" w:hAnsi="宋体" w:cs="仿宋"/>
          <w:sz w:val="24"/>
          <w:szCs w:val="24"/>
        </w:rPr>
        <w:t>）参加采购活动前</w:t>
      </w:r>
      <w:r>
        <w:rPr>
          <w:rFonts w:hAnsi="宋体" w:cs="仿宋"/>
          <w:sz w:val="24"/>
          <w:szCs w:val="24"/>
        </w:rPr>
        <w:t>3</w:t>
      </w:r>
      <w:r>
        <w:rPr>
          <w:rFonts w:hint="eastAsia" w:hAnsi="宋体" w:cs="仿宋"/>
          <w:sz w:val="24"/>
          <w:szCs w:val="24"/>
        </w:rPr>
        <w:t>年内担任供应商的董事、监事；</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3</w:t>
      </w:r>
      <w:r>
        <w:rPr>
          <w:rFonts w:hint="eastAsia" w:hAnsi="宋体" w:cs="仿宋"/>
          <w:sz w:val="24"/>
          <w:szCs w:val="24"/>
        </w:rPr>
        <w:t>）参加采购活动前</w:t>
      </w:r>
      <w:r>
        <w:rPr>
          <w:rFonts w:hAnsi="宋体" w:cs="仿宋"/>
          <w:sz w:val="24"/>
          <w:szCs w:val="24"/>
        </w:rPr>
        <w:t>3</w:t>
      </w:r>
      <w:r>
        <w:rPr>
          <w:rFonts w:hint="eastAsia" w:hAnsi="宋体" w:cs="仿宋"/>
          <w:sz w:val="24"/>
          <w:szCs w:val="24"/>
        </w:rPr>
        <w:t>年内是供应商的控股股东或者实际控制人；</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4</w:t>
      </w:r>
      <w:r>
        <w:rPr>
          <w:rFonts w:hint="eastAsia" w:hAnsi="宋体" w:cs="仿宋"/>
          <w:sz w:val="24"/>
          <w:szCs w:val="24"/>
        </w:rPr>
        <w:t>）与供应商的法定代表人或者负责人有夫妻、直系血亲、三代以内旁系血亲或者近姻亲关系；</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5</w:t>
      </w:r>
      <w:r>
        <w:rPr>
          <w:rFonts w:hint="eastAsia" w:hAnsi="宋体" w:cs="仿宋"/>
          <w:sz w:val="24"/>
          <w:szCs w:val="24"/>
        </w:rPr>
        <w:t>）与供应商有其他可能影响采购活动公平、公正进行的关系。</w:t>
      </w:r>
    </w:p>
    <w:p>
      <w:pPr>
        <w:pStyle w:val="66"/>
        <w:spacing w:line="360" w:lineRule="auto"/>
        <w:ind w:left="1" w:firstLine="480" w:firstLineChars="200"/>
        <w:rPr>
          <w:rFonts w:hAnsi="宋体"/>
          <w:sz w:val="24"/>
          <w:szCs w:val="24"/>
        </w:rPr>
      </w:pPr>
      <w:r>
        <w:rPr>
          <w:rFonts w:hint="eastAsia" w:hAnsi="宋体" w:cs="仿宋"/>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pStyle w:val="66"/>
        <w:spacing w:line="360" w:lineRule="auto"/>
        <w:ind w:left="1" w:firstLine="480" w:firstLineChars="200"/>
        <w:rPr>
          <w:rFonts w:hAnsi="宋体"/>
          <w:b/>
          <w:bCs/>
          <w:sz w:val="24"/>
          <w:szCs w:val="24"/>
        </w:rPr>
      </w:pPr>
      <w:r>
        <w:rPr>
          <w:rFonts w:hint="eastAsia" w:hAnsi="宋体"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6"/>
        <w:spacing w:line="360" w:lineRule="auto"/>
        <w:ind w:left="1" w:firstLine="482" w:firstLineChars="200"/>
        <w:rPr>
          <w:rFonts w:hAnsi="宋体"/>
          <w:b/>
          <w:bCs/>
          <w:sz w:val="24"/>
          <w:szCs w:val="24"/>
        </w:rPr>
      </w:pPr>
      <w:r>
        <w:rPr>
          <w:rFonts w:hAnsi="宋体" w:cs="仿宋"/>
          <w:b/>
          <w:bCs/>
          <w:sz w:val="24"/>
          <w:szCs w:val="24"/>
        </w:rPr>
        <w:t>6.</w:t>
      </w:r>
      <w:r>
        <w:rPr>
          <w:rFonts w:hint="eastAsia" w:hAnsi="宋体" w:cs="仿宋"/>
          <w:b/>
          <w:bCs/>
          <w:sz w:val="24"/>
          <w:szCs w:val="24"/>
        </w:rPr>
        <w:t>联合体竞争性谈判（本项目是否接受联合体以第一章为准。）</w:t>
      </w:r>
    </w:p>
    <w:p>
      <w:pPr>
        <w:pStyle w:val="66"/>
        <w:spacing w:line="360" w:lineRule="auto"/>
        <w:ind w:left="1" w:firstLine="480" w:firstLineChars="200"/>
        <w:rPr>
          <w:rFonts w:hint="default" w:hAnsi="宋体" w:eastAsia="宋体"/>
          <w:sz w:val="24"/>
          <w:lang w:val="en-US" w:eastAsia="zh-CN"/>
        </w:rPr>
      </w:pPr>
      <w:r>
        <w:rPr>
          <w:rFonts w:hint="eastAsia" w:hAnsi="宋体" w:cs="仿宋"/>
          <w:sz w:val="24"/>
          <w:szCs w:val="24"/>
          <w:lang w:val="en-US" w:eastAsia="zh-CN"/>
        </w:rPr>
        <w:t>本项目不接受联合体参加竞争性谈判。</w:t>
      </w:r>
    </w:p>
    <w:p>
      <w:pPr>
        <w:pStyle w:val="5"/>
        <w:spacing w:before="0" w:after="0" w:line="400" w:lineRule="exact"/>
        <w:ind w:firstLine="482" w:firstLineChars="200"/>
        <w:rPr>
          <w:rFonts w:hAnsi="宋体" w:cs="仿宋"/>
          <w:b/>
          <w:bCs/>
          <w:sz w:val="24"/>
          <w:szCs w:val="24"/>
        </w:rPr>
      </w:pPr>
      <w:r>
        <w:rPr>
          <w:rFonts w:hAnsi="宋体" w:cs="仿宋"/>
          <w:b/>
          <w:bCs/>
          <w:sz w:val="24"/>
          <w:szCs w:val="24"/>
        </w:rPr>
        <w:t>7.</w:t>
      </w:r>
      <w:r>
        <w:rPr>
          <w:rFonts w:hint="eastAsia" w:hAnsi="宋体" w:cs="仿宋"/>
          <w:b/>
          <w:bCs/>
          <w:sz w:val="24"/>
          <w:szCs w:val="24"/>
        </w:rPr>
        <w:t xml:space="preserve"> 谈判保证</w:t>
      </w:r>
      <w:r>
        <w:rPr>
          <w:rFonts w:hint="eastAsia" w:hAnsi="宋体" w:cs="仿宋"/>
          <w:b/>
          <w:bCs/>
          <w:sz w:val="24"/>
          <w:szCs w:val="24"/>
          <w:highlight w:val="none"/>
        </w:rPr>
        <w:t>金</w:t>
      </w:r>
      <w:r>
        <w:rPr>
          <w:rFonts w:hint="eastAsia" w:ascii="宋体" w:hAnsi="宋体"/>
          <w:sz w:val="24"/>
          <w:szCs w:val="24"/>
          <w:highlight w:val="none"/>
        </w:rPr>
        <w:t>（实质性要求</w:t>
      </w:r>
      <w:r>
        <w:rPr>
          <w:rFonts w:hint="eastAsia" w:ascii="宋体" w:hAnsi="宋体"/>
          <w:sz w:val="24"/>
          <w:szCs w:val="24"/>
          <w:highlight w:val="none"/>
          <w:lang w:val="en-US" w:eastAsia="zh-CN"/>
        </w:rPr>
        <w:t>/本项目不要求</w:t>
      </w:r>
      <w:r>
        <w:rPr>
          <w:rFonts w:hint="eastAsia" w:ascii="宋体" w:hAnsi="宋体"/>
          <w:sz w:val="24"/>
          <w:szCs w:val="24"/>
          <w:highlight w:val="none"/>
        </w:rPr>
        <w:t>）</w:t>
      </w:r>
    </w:p>
    <w:p>
      <w:pPr>
        <w:spacing w:line="360" w:lineRule="auto"/>
        <w:ind w:firstLine="472" w:firstLineChars="196"/>
        <w:rPr>
          <w:rFonts w:hint="eastAsia" w:ascii="宋体" w:hAnsi="宋体" w:eastAsia="宋体" w:cs="仿宋"/>
          <w:b/>
          <w:bCs/>
          <w:sz w:val="24"/>
          <w:lang w:val="en-US" w:eastAsia="zh-CN"/>
        </w:rPr>
      </w:pPr>
      <w:r>
        <w:rPr>
          <w:rFonts w:hint="eastAsia" w:ascii="宋体" w:hAnsi="宋体" w:cs="仿宋"/>
          <w:b/>
          <w:bCs/>
          <w:sz w:val="24"/>
          <w:lang w:val="en-US" w:eastAsia="zh-CN"/>
        </w:rPr>
        <w:t>无。</w:t>
      </w:r>
    </w:p>
    <w:p>
      <w:pPr>
        <w:spacing w:line="360" w:lineRule="auto"/>
        <w:ind w:firstLine="472" w:firstLineChars="196"/>
        <w:rPr>
          <w:rFonts w:ascii="宋体" w:hAnsi="宋体"/>
          <w:b/>
          <w:bCs/>
          <w:sz w:val="24"/>
        </w:rPr>
      </w:pPr>
      <w:r>
        <w:rPr>
          <w:rFonts w:hint="eastAsia" w:ascii="宋体" w:hAnsi="宋体" w:cs="仿宋"/>
          <w:b/>
          <w:bCs/>
          <w:sz w:val="24"/>
        </w:rPr>
        <w:t>8.响应文件有效期（实质性要求）</w:t>
      </w:r>
    </w:p>
    <w:p>
      <w:pPr>
        <w:spacing w:line="360" w:lineRule="auto"/>
        <w:ind w:firstLine="470" w:firstLineChars="196"/>
        <w:rPr>
          <w:rFonts w:ascii="宋体" w:hAnsi="宋体" w:cs="仿宋"/>
          <w:sz w:val="24"/>
        </w:rPr>
      </w:pPr>
      <w:r>
        <w:rPr>
          <w:rFonts w:hint="eastAsia" w:ascii="宋体" w:hAnsi="宋体" w:cs="仿宋"/>
          <w:sz w:val="24"/>
        </w:rPr>
        <w:t>本项目响应文件有效期为递交谈判响应文件截止之日起</w:t>
      </w:r>
      <w:r>
        <w:rPr>
          <w:rFonts w:hint="eastAsia" w:ascii="宋体" w:hAnsi="宋体" w:cs="仿宋"/>
          <w:sz w:val="24"/>
          <w:u w:val="single"/>
          <w:lang w:val="en-US" w:eastAsia="zh-CN"/>
        </w:rPr>
        <w:t>3</w:t>
      </w:r>
      <w:r>
        <w:rPr>
          <w:rFonts w:ascii="宋体" w:hAnsi="宋体" w:cs="仿宋"/>
          <w:sz w:val="24"/>
          <w:u w:val="single"/>
        </w:rPr>
        <w:t>0</w:t>
      </w:r>
      <w:r>
        <w:rPr>
          <w:rFonts w:hint="eastAsia" w:ascii="宋体" w:hAnsi="宋体" w:cs="仿宋"/>
          <w:sz w:val="24"/>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400" w:lineRule="exact"/>
        <w:ind w:firstLine="482" w:firstLineChars="200"/>
        <w:rPr>
          <w:rFonts w:ascii="宋体" w:hAnsi="宋体"/>
          <w:b/>
          <w:bCs/>
          <w:color w:val="000000"/>
          <w:sz w:val="24"/>
          <w:szCs w:val="24"/>
        </w:rPr>
      </w:pPr>
      <w:r>
        <w:rPr>
          <w:rFonts w:hint="eastAsia" w:ascii="宋体" w:hAnsi="宋体"/>
          <w:b/>
          <w:color w:val="000000"/>
          <w:sz w:val="24"/>
        </w:rPr>
        <w:t>9.</w:t>
      </w:r>
      <w:r>
        <w:rPr>
          <w:rFonts w:hint="eastAsia" w:ascii="宋体" w:hAnsi="宋体"/>
          <w:b/>
          <w:bCs/>
          <w:color w:val="000000"/>
          <w:sz w:val="24"/>
          <w:szCs w:val="24"/>
        </w:rPr>
        <w:t>知识产权（实质性要求）</w:t>
      </w:r>
    </w:p>
    <w:p>
      <w:pPr>
        <w:spacing w:line="360" w:lineRule="auto"/>
        <w:ind w:firstLine="470" w:firstLineChars="196"/>
        <w:rPr>
          <w:rFonts w:ascii="宋体" w:hAnsi="宋体" w:cs="仿宋"/>
          <w:sz w:val="24"/>
        </w:rPr>
      </w:pPr>
      <w:r>
        <w:rPr>
          <w:rFonts w:hint="eastAsia" w:ascii="宋体" w:hAnsi="宋体" w:cs="仿宋"/>
          <w:sz w:val="24"/>
        </w:rPr>
        <w:t>9</w:t>
      </w:r>
      <w:r>
        <w:rPr>
          <w:rFonts w:ascii="宋体" w:hAnsi="宋体" w:cs="仿宋"/>
          <w:sz w:val="24"/>
        </w:rPr>
        <w:t>.1</w:t>
      </w:r>
      <w:r>
        <w:rPr>
          <w:rFonts w:hint="eastAsia" w:ascii="宋体" w:hAnsi="宋体" w:cs="仿宋"/>
          <w:sz w:val="24"/>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70" w:firstLineChars="196"/>
        <w:rPr>
          <w:rFonts w:ascii="宋体" w:hAnsi="宋体" w:cs="仿宋"/>
          <w:sz w:val="24"/>
        </w:rPr>
      </w:pPr>
      <w:r>
        <w:rPr>
          <w:rFonts w:hint="eastAsia" w:ascii="宋体" w:hAnsi="宋体" w:cs="仿宋"/>
          <w:sz w:val="24"/>
        </w:rPr>
        <w:t>9</w:t>
      </w:r>
      <w:r>
        <w:rPr>
          <w:rFonts w:ascii="宋体" w:hAnsi="宋体" w:cs="仿宋"/>
          <w:sz w:val="24"/>
        </w:rPr>
        <w:t>.2</w:t>
      </w:r>
      <w:r>
        <w:rPr>
          <w:rFonts w:hint="eastAsia" w:ascii="宋体" w:hAnsi="宋体" w:cs="仿宋"/>
          <w:sz w:val="24"/>
        </w:rPr>
        <w:t xml:space="preserve"> 除非谈判文件特别规定，采购人享有本项目实施过程中产生的知识成果及知识产权。</w:t>
      </w:r>
    </w:p>
    <w:p>
      <w:pPr>
        <w:spacing w:line="360" w:lineRule="auto"/>
        <w:ind w:firstLine="470" w:firstLineChars="196"/>
        <w:rPr>
          <w:rFonts w:ascii="宋体" w:hAnsi="宋体" w:cs="仿宋"/>
          <w:sz w:val="24"/>
        </w:rPr>
      </w:pPr>
      <w:r>
        <w:rPr>
          <w:rFonts w:hint="eastAsia" w:ascii="宋体" w:hAnsi="宋体" w:cs="仿宋"/>
          <w:sz w:val="24"/>
        </w:rPr>
        <w:t>9</w:t>
      </w:r>
      <w:r>
        <w:rPr>
          <w:rFonts w:ascii="宋体" w:hAnsi="宋体" w:cs="仿宋"/>
          <w:sz w:val="24"/>
        </w:rPr>
        <w:t>.3</w:t>
      </w:r>
      <w:r>
        <w:rPr>
          <w:rFonts w:hint="eastAsia" w:ascii="宋体" w:hAnsi="宋体" w:cs="仿宋"/>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70" w:firstLineChars="196"/>
        <w:rPr>
          <w:rFonts w:ascii="宋体" w:hAnsi="宋体"/>
          <w:sz w:val="24"/>
        </w:rPr>
      </w:pPr>
      <w:r>
        <w:rPr>
          <w:rFonts w:hint="eastAsia" w:ascii="宋体" w:hAnsi="宋体" w:cs="仿宋"/>
          <w:sz w:val="24"/>
        </w:rPr>
        <w:t>9</w:t>
      </w:r>
      <w:r>
        <w:rPr>
          <w:rFonts w:ascii="宋体" w:hAnsi="宋体" w:cs="仿宋"/>
          <w:sz w:val="24"/>
        </w:rPr>
        <w:t>.4</w:t>
      </w:r>
      <w:r>
        <w:rPr>
          <w:rFonts w:hint="eastAsia" w:ascii="宋体" w:hAnsi="宋体" w:cs="仿宋"/>
          <w:sz w:val="24"/>
        </w:rPr>
        <w:t xml:space="preserve"> 如采用供应商所不拥有的知识产权，则在报价中必须包括合法获取该知识产权的相关费用。</w:t>
      </w:r>
      <w:bookmarkEnd w:id="18"/>
    </w:p>
    <w:p>
      <w:pPr>
        <w:pStyle w:val="4"/>
        <w:spacing w:line="400" w:lineRule="exact"/>
        <w:jc w:val="center"/>
        <w:rPr>
          <w:rFonts w:ascii="宋体" w:hAnsi="宋体" w:eastAsia="宋体"/>
          <w:bCs w:val="0"/>
        </w:rPr>
      </w:pPr>
      <w:r>
        <w:rPr>
          <w:rFonts w:hint="eastAsia" w:ascii="宋体" w:hAnsi="宋体" w:eastAsia="宋体"/>
          <w:bCs w:val="0"/>
        </w:rPr>
        <w:t>三、谈判文件</w:t>
      </w:r>
    </w:p>
    <w:p>
      <w:pPr>
        <w:pStyle w:val="5"/>
        <w:keepNext w:val="0"/>
        <w:keepLines w:val="0"/>
        <w:spacing w:before="0" w:after="0" w:line="360" w:lineRule="auto"/>
        <w:ind w:firstLine="482" w:firstLineChars="200"/>
        <w:rPr>
          <w:rFonts w:ascii="宋体" w:hAnsi="宋体"/>
          <w:sz w:val="24"/>
          <w:szCs w:val="24"/>
        </w:rPr>
      </w:pPr>
      <w:bookmarkStart w:id="19" w:name="PO_默认文件内容_25"/>
      <w:r>
        <w:rPr>
          <w:rFonts w:ascii="宋体" w:hAnsi="宋体" w:cs="仿宋"/>
          <w:sz w:val="24"/>
          <w:szCs w:val="24"/>
        </w:rPr>
        <w:t>10</w:t>
      </w:r>
      <w:r>
        <w:rPr>
          <w:rFonts w:hint="eastAsia" w:ascii="宋体" w:hAnsi="宋体" w:cs="仿宋"/>
          <w:sz w:val="24"/>
          <w:szCs w:val="24"/>
        </w:rPr>
        <w:t>．谈判文件的构成（实质性要求）</w:t>
      </w:r>
    </w:p>
    <w:p>
      <w:pPr>
        <w:tabs>
          <w:tab w:val="left" w:pos="720"/>
        </w:tabs>
        <w:spacing w:line="360" w:lineRule="auto"/>
        <w:ind w:firstLine="480" w:firstLineChars="20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1 </w:t>
      </w:r>
      <w:r>
        <w:rPr>
          <w:rFonts w:hint="eastAsia" w:ascii="宋体" w:hAnsi="宋体" w:cs="仿宋"/>
          <w:sz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2 </w:t>
      </w:r>
      <w:r>
        <w:rPr>
          <w:rFonts w:hint="eastAsia" w:ascii="宋体" w:hAnsi="宋体" w:cs="仿宋"/>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11. </w:t>
      </w:r>
      <w:r>
        <w:rPr>
          <w:rFonts w:hint="eastAsia" w:ascii="宋体" w:hAnsi="宋体" w:cs="仿宋"/>
          <w:sz w:val="24"/>
          <w:szCs w:val="24"/>
        </w:rPr>
        <w:t>谈判文件的澄清和修改</w:t>
      </w:r>
    </w:p>
    <w:p>
      <w:pPr>
        <w:tabs>
          <w:tab w:val="left" w:pos="720"/>
        </w:tabs>
        <w:spacing w:line="360" w:lineRule="auto"/>
        <w:ind w:firstLine="480" w:firstLineChars="200"/>
        <w:rPr>
          <w:rFonts w:ascii="宋体" w:hAnsi="宋体"/>
          <w:sz w:val="24"/>
        </w:rPr>
      </w:pPr>
      <w:r>
        <w:rPr>
          <w:rFonts w:ascii="宋体" w:hAnsi="宋体" w:cs="仿宋"/>
          <w:sz w:val="24"/>
        </w:rPr>
        <w:t xml:space="preserve">11.1 </w:t>
      </w:r>
      <w:r>
        <w:rPr>
          <w:rFonts w:hint="eastAsia" w:ascii="宋体" w:hAnsi="宋体" w:cs="仿宋"/>
          <w:sz w:val="24"/>
        </w:rPr>
        <w:t>在递交响应文件截止时间前，采购人、采购代理机构可以对谈判文件进行澄清或者修改。</w:t>
      </w:r>
    </w:p>
    <w:p>
      <w:pPr>
        <w:tabs>
          <w:tab w:val="left" w:pos="720"/>
        </w:tabs>
        <w:spacing w:line="360" w:lineRule="auto"/>
        <w:ind w:firstLine="480" w:firstLineChars="200"/>
        <w:rPr>
          <w:rFonts w:ascii="宋体" w:hAnsi="宋体"/>
          <w:sz w:val="24"/>
        </w:rPr>
      </w:pPr>
      <w:r>
        <w:rPr>
          <w:rFonts w:ascii="宋体" w:hAnsi="宋体" w:cs="仿宋"/>
          <w:sz w:val="24"/>
        </w:rPr>
        <w:t xml:space="preserve">11.2 </w:t>
      </w:r>
      <w:r>
        <w:rPr>
          <w:rFonts w:hint="eastAsia" w:ascii="宋体" w:hAnsi="宋体" w:cs="仿宋"/>
          <w:sz w:val="24"/>
        </w:rPr>
        <w:t>采购</w:t>
      </w:r>
      <w:r>
        <w:rPr>
          <w:rFonts w:hint="eastAsia" w:ascii="宋体" w:hAnsi="宋体" w:cs="仿宋"/>
          <w:sz w:val="24"/>
          <w:lang w:val="en-US" w:eastAsia="zh-CN"/>
        </w:rPr>
        <w:t>人</w:t>
      </w:r>
      <w:r>
        <w:rPr>
          <w:rFonts w:hint="eastAsia" w:ascii="宋体" w:hAnsi="宋体" w:cs="仿宋"/>
          <w:sz w:val="24"/>
        </w:rPr>
        <w:t>对已发出的谈判文件进行澄清或者修改，应当以书面形式将澄清或者修改的内容通知所有按照规定获得了谈判文件的供应商，同时发布更正公告。该澄清或者修改的内容为谈判文件的组成部分。</w:t>
      </w:r>
    </w:p>
    <w:p>
      <w:pPr>
        <w:tabs>
          <w:tab w:val="left" w:pos="720"/>
        </w:tabs>
        <w:spacing w:line="360" w:lineRule="auto"/>
        <w:ind w:firstLine="480" w:firstLineChars="200"/>
        <w:rPr>
          <w:rFonts w:ascii="宋体" w:hAnsi="宋体"/>
          <w:sz w:val="24"/>
        </w:rPr>
      </w:pPr>
      <w:r>
        <w:rPr>
          <w:rFonts w:ascii="宋体" w:hAnsi="宋体" w:cs="仿宋"/>
          <w:sz w:val="24"/>
        </w:rPr>
        <w:t xml:space="preserve">11.3 </w:t>
      </w:r>
      <w:r>
        <w:rPr>
          <w:rFonts w:hint="eastAsia" w:ascii="宋体" w:hAnsi="宋体" w:cs="仿宋"/>
          <w:sz w:val="24"/>
        </w:rPr>
        <w:t>供应商应于递交响应文件截止前，查询本项目的更正公告，以保证其对谈判文件做出正确的响应，供应商自行下载使用。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仿宋"/>
          <w:sz w:val="24"/>
        </w:rPr>
      </w:pPr>
      <w:r>
        <w:rPr>
          <w:rFonts w:ascii="宋体" w:hAnsi="宋体" w:cs="仿宋"/>
          <w:sz w:val="24"/>
        </w:rPr>
        <w:t>11.4</w:t>
      </w:r>
      <w:r>
        <w:rPr>
          <w:rFonts w:hint="eastAsia" w:ascii="宋体" w:hAnsi="宋体" w:cs="仿宋"/>
          <w:sz w:val="24"/>
        </w:rPr>
        <w:t>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12. </w:t>
      </w:r>
      <w:r>
        <w:rPr>
          <w:rFonts w:hint="eastAsia" w:ascii="宋体" w:hAnsi="宋体" w:cs="仿宋"/>
          <w:sz w:val="24"/>
          <w:szCs w:val="24"/>
        </w:rPr>
        <w:t>答疑会和现场考察</w:t>
      </w:r>
    </w:p>
    <w:p>
      <w:pPr>
        <w:spacing w:line="360" w:lineRule="auto"/>
        <w:ind w:firstLine="480" w:firstLineChars="200"/>
        <w:rPr>
          <w:rFonts w:ascii="宋体" w:hAnsi="宋体"/>
          <w:sz w:val="24"/>
        </w:rPr>
      </w:pPr>
      <w:r>
        <w:rPr>
          <w:rFonts w:ascii="宋体" w:hAnsi="宋体" w:cs="仿宋"/>
          <w:sz w:val="24"/>
        </w:rPr>
        <w:t xml:space="preserve">12.1 </w:t>
      </w:r>
      <w:r>
        <w:rPr>
          <w:rFonts w:hint="eastAsia" w:ascii="宋体" w:hAnsi="宋体" w:cs="仿宋"/>
          <w:sz w:val="24"/>
        </w:rPr>
        <w:t>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sz w:val="24"/>
        </w:rPr>
      </w:pPr>
      <w:r>
        <w:rPr>
          <w:rFonts w:ascii="宋体" w:hAnsi="宋体" w:cs="仿宋"/>
          <w:sz w:val="24"/>
        </w:rPr>
        <w:t>12.2</w:t>
      </w:r>
      <w:r>
        <w:rPr>
          <w:rFonts w:hint="eastAsia" w:ascii="宋体" w:hAnsi="宋体" w:cs="仿宋"/>
          <w:sz w:val="24"/>
        </w:rPr>
        <w:t>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rPr>
      </w:pPr>
      <w:r>
        <w:rPr>
          <w:rFonts w:ascii="宋体" w:hAnsi="宋体" w:cs="仿宋"/>
          <w:sz w:val="24"/>
        </w:rPr>
        <w:t xml:space="preserve">12.3 </w:t>
      </w:r>
      <w:r>
        <w:rPr>
          <w:rFonts w:hint="eastAsia" w:ascii="宋体" w:hAnsi="宋体" w:cs="仿宋"/>
          <w:sz w:val="24"/>
        </w:rPr>
        <w:t>供应商考察现场或者参加答疑会所发生的一切费用由供应商自己承担。</w:t>
      </w:r>
      <w:bookmarkEnd w:id="19"/>
    </w:p>
    <w:p>
      <w:pPr>
        <w:pStyle w:val="4"/>
        <w:spacing w:line="400" w:lineRule="exact"/>
        <w:jc w:val="center"/>
        <w:rPr>
          <w:rFonts w:ascii="宋体" w:hAnsi="宋体" w:eastAsia="宋体"/>
          <w:bCs w:val="0"/>
        </w:rPr>
      </w:pPr>
      <w:r>
        <w:rPr>
          <w:rFonts w:hint="eastAsia" w:ascii="宋体" w:hAnsi="宋体" w:eastAsia="宋体"/>
          <w:bCs w:val="0"/>
        </w:rPr>
        <w:t>四、响应文件</w:t>
      </w:r>
    </w:p>
    <w:p>
      <w:pPr>
        <w:spacing w:line="400" w:lineRule="exact"/>
        <w:ind w:firstLine="482" w:firstLineChars="200"/>
        <w:outlineLvl w:val="2"/>
        <w:rPr>
          <w:rFonts w:ascii="宋体" w:hAnsi="宋体"/>
          <w:b/>
          <w:bCs/>
          <w:sz w:val="24"/>
        </w:rPr>
      </w:pPr>
      <w:r>
        <w:rPr>
          <w:rFonts w:ascii="宋体" w:hAnsi="宋体" w:cs="仿宋"/>
          <w:b/>
          <w:bCs/>
          <w:sz w:val="24"/>
        </w:rPr>
        <w:t>13.</w:t>
      </w:r>
      <w:r>
        <w:rPr>
          <w:rFonts w:hint="eastAsia" w:ascii="宋体" w:hAnsi="宋体" w:cs="仿宋"/>
          <w:b/>
          <w:bCs/>
          <w:sz w:val="24"/>
        </w:rPr>
        <w:t>响应文件的组成（实质性要求）</w:t>
      </w:r>
    </w:p>
    <w:p>
      <w:pPr>
        <w:spacing w:line="400" w:lineRule="exact"/>
        <w:ind w:left="2" w:leftChars="1" w:firstLine="480" w:firstLineChars="200"/>
        <w:rPr>
          <w:rFonts w:ascii="宋体" w:hAnsi="宋体"/>
          <w:sz w:val="24"/>
        </w:rPr>
      </w:pPr>
      <w:r>
        <w:rPr>
          <w:rFonts w:ascii="宋体" w:hAnsi="宋体" w:cs="仿宋"/>
          <w:sz w:val="24"/>
        </w:rPr>
        <w:t>13.1</w:t>
      </w:r>
      <w:r>
        <w:rPr>
          <w:rFonts w:hint="eastAsia" w:ascii="宋体" w:hAnsi="宋体" w:cs="仿宋"/>
          <w:sz w:val="24"/>
        </w:rPr>
        <w:t>供应商应按照谈判文件的规定和要求编制响应文件。供应商在成交后将成交项目的非主体、非关键性工作分包他人完成的，应当在响应文件中载明或谈判过程中澄清。</w:t>
      </w:r>
    </w:p>
    <w:p>
      <w:pPr>
        <w:spacing w:line="400" w:lineRule="exact"/>
        <w:ind w:left="2" w:leftChars="1" w:firstLine="480" w:firstLineChars="200"/>
        <w:rPr>
          <w:rFonts w:ascii="宋体" w:hAnsi="宋体"/>
          <w:sz w:val="24"/>
        </w:rPr>
      </w:pPr>
      <w:r>
        <w:rPr>
          <w:rFonts w:ascii="宋体" w:hAnsi="宋体" w:cs="仿宋"/>
          <w:sz w:val="24"/>
        </w:rPr>
        <w:t>13.2</w:t>
      </w:r>
      <w:r>
        <w:rPr>
          <w:rFonts w:hint="eastAsia" w:ascii="宋体" w:hAnsi="宋体" w:cs="仿宋"/>
          <w:sz w:val="24"/>
        </w:rPr>
        <w:t>供应商编写的响应文件应包括资格性响应文件和其他响应文件两部分，分册装订。</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14.</w:t>
      </w:r>
      <w:r>
        <w:rPr>
          <w:rFonts w:hint="eastAsia" w:ascii="宋体" w:hAnsi="宋体" w:cs="仿宋"/>
          <w:sz w:val="24"/>
          <w:szCs w:val="24"/>
        </w:rPr>
        <w:t>响应文件的语言（实质性要求）</w:t>
      </w:r>
    </w:p>
    <w:p>
      <w:pPr>
        <w:tabs>
          <w:tab w:val="left" w:pos="1134"/>
        </w:tabs>
        <w:spacing w:line="360" w:lineRule="auto"/>
        <w:ind w:firstLine="480" w:firstLineChars="200"/>
        <w:jc w:val="left"/>
        <w:rPr>
          <w:rFonts w:ascii="宋体" w:hAnsi="宋体"/>
          <w:sz w:val="24"/>
        </w:rPr>
      </w:pPr>
      <w:r>
        <w:rPr>
          <w:rFonts w:ascii="宋体" w:hAnsi="宋体" w:cs="仿宋"/>
          <w:sz w:val="24"/>
        </w:rPr>
        <w:t>14.1</w:t>
      </w:r>
      <w:r>
        <w:rPr>
          <w:rFonts w:hint="eastAsia" w:ascii="宋体" w:hAnsi="宋体" w:cs="仿宋"/>
          <w:sz w:val="24"/>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sz w:val="24"/>
        </w:rPr>
      </w:pPr>
      <w:r>
        <w:rPr>
          <w:rFonts w:ascii="宋体" w:hAnsi="宋体" w:cs="仿宋"/>
          <w:sz w:val="24"/>
        </w:rPr>
        <w:t xml:space="preserve">14.2 </w:t>
      </w:r>
      <w:r>
        <w:rPr>
          <w:rFonts w:hint="eastAsia" w:ascii="宋体" w:hAnsi="宋体" w:cs="仿宋"/>
          <w:sz w:val="24"/>
        </w:rPr>
        <w:t>翻译的中文资料与外文资料如果出现差异和矛盾时，以中文为准。涉嫌提供虚假材料的按照相关法律法规处理。</w:t>
      </w:r>
    </w:p>
    <w:p>
      <w:pPr>
        <w:spacing w:line="360" w:lineRule="auto"/>
        <w:ind w:firstLine="480" w:firstLineChars="200"/>
        <w:rPr>
          <w:rFonts w:ascii="宋体" w:hAnsi="宋体"/>
          <w:sz w:val="24"/>
        </w:rPr>
      </w:pPr>
      <w:r>
        <w:rPr>
          <w:rFonts w:ascii="宋体" w:hAnsi="宋体" w:cs="仿宋"/>
          <w:sz w:val="24"/>
        </w:rPr>
        <w:t xml:space="preserve">14.3 </w:t>
      </w:r>
      <w:r>
        <w:rPr>
          <w:rFonts w:hint="eastAsia" w:ascii="宋体" w:hAnsi="宋体" w:cs="仿宋"/>
          <w:sz w:val="24"/>
        </w:rPr>
        <w:t>如因未翻译而造成对供应商的不利后果，由供应商承担。</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15</w:t>
      </w:r>
      <w:r>
        <w:rPr>
          <w:rFonts w:hint="eastAsia" w:ascii="宋体" w:hAnsi="宋体" w:cs="仿宋"/>
          <w:sz w:val="24"/>
          <w:szCs w:val="24"/>
        </w:rPr>
        <w:t>．计量单位（实质性要求）</w:t>
      </w:r>
    </w:p>
    <w:p>
      <w:pPr>
        <w:spacing w:line="360" w:lineRule="auto"/>
        <w:ind w:firstLine="470" w:firstLineChars="196"/>
        <w:rPr>
          <w:rFonts w:ascii="宋体" w:hAnsi="宋体"/>
          <w:b/>
          <w:bCs/>
          <w:sz w:val="24"/>
        </w:rPr>
      </w:pPr>
      <w:r>
        <w:rPr>
          <w:rFonts w:hint="eastAsia" w:ascii="宋体" w:hAnsi="宋体" w:cs="仿宋"/>
          <w:sz w:val="24"/>
        </w:rPr>
        <w:t>除谈判文件中另有规定外，本次采购项目所有合同项下的报价均采用国家法定的计量单位。</w:t>
      </w:r>
    </w:p>
    <w:p>
      <w:pPr>
        <w:spacing w:line="360" w:lineRule="auto"/>
        <w:ind w:firstLine="470" w:firstLineChars="195"/>
        <w:rPr>
          <w:rFonts w:ascii="宋体" w:hAnsi="宋体" w:cs="仿宋"/>
          <w:b/>
          <w:bCs/>
          <w:sz w:val="24"/>
        </w:rPr>
      </w:pPr>
      <w:r>
        <w:rPr>
          <w:rFonts w:ascii="宋体" w:hAnsi="宋体" w:cs="仿宋"/>
          <w:b/>
          <w:bCs/>
          <w:sz w:val="24"/>
        </w:rPr>
        <w:t xml:space="preserve">16. </w:t>
      </w:r>
      <w:r>
        <w:rPr>
          <w:rFonts w:hint="eastAsia" w:ascii="宋体" w:hAnsi="宋体" w:cs="仿宋"/>
          <w:b/>
          <w:bCs/>
          <w:sz w:val="24"/>
        </w:rPr>
        <w:t>报价货币（实质性要求）</w:t>
      </w:r>
    </w:p>
    <w:p>
      <w:pPr>
        <w:spacing w:line="360" w:lineRule="auto"/>
        <w:ind w:left="2" w:leftChars="1" w:firstLine="480" w:firstLineChars="200"/>
        <w:rPr>
          <w:rFonts w:ascii="宋体" w:hAnsi="宋体" w:cs="仿宋"/>
          <w:sz w:val="24"/>
        </w:rPr>
      </w:pPr>
      <w:r>
        <w:rPr>
          <w:rFonts w:hint="eastAsia" w:ascii="宋体" w:hAnsi="宋体" w:cs="仿宋"/>
          <w:sz w:val="24"/>
        </w:rPr>
        <w:t>本次谈判项目的报价货币为人民币，报价以谈判文件规定为准。</w:t>
      </w:r>
    </w:p>
    <w:p>
      <w:pPr>
        <w:spacing w:line="360" w:lineRule="auto"/>
        <w:ind w:left="2" w:leftChars="1" w:firstLine="482" w:firstLineChars="200"/>
        <w:rPr>
          <w:rFonts w:ascii="宋体" w:hAnsi="宋体"/>
          <w:b/>
          <w:bCs/>
          <w:sz w:val="24"/>
        </w:rPr>
      </w:pPr>
      <w:r>
        <w:rPr>
          <w:rFonts w:ascii="宋体" w:hAnsi="宋体" w:cs="仿宋"/>
          <w:b/>
          <w:bCs/>
          <w:sz w:val="24"/>
        </w:rPr>
        <w:t>17.</w:t>
      </w:r>
      <w:r>
        <w:rPr>
          <w:rFonts w:hint="eastAsia" w:ascii="宋体" w:hAnsi="宋体" w:cs="仿宋"/>
          <w:b/>
          <w:bCs/>
          <w:sz w:val="24"/>
        </w:rPr>
        <w:t>响应文件格式</w:t>
      </w:r>
    </w:p>
    <w:p>
      <w:pPr>
        <w:spacing w:line="360" w:lineRule="auto"/>
        <w:ind w:left="2" w:leftChars="1" w:firstLine="480" w:firstLineChars="200"/>
        <w:rPr>
          <w:rFonts w:ascii="宋体" w:hAnsi="宋体"/>
          <w:sz w:val="24"/>
        </w:rPr>
      </w:pPr>
      <w:r>
        <w:rPr>
          <w:rFonts w:ascii="宋体" w:hAnsi="宋体" w:cs="仿宋"/>
          <w:sz w:val="24"/>
        </w:rPr>
        <w:t xml:space="preserve">17.1 </w:t>
      </w:r>
      <w:r>
        <w:rPr>
          <w:rFonts w:hint="eastAsia" w:ascii="宋体" w:hAnsi="宋体" w:cs="仿宋"/>
          <w:sz w:val="24"/>
        </w:rPr>
        <w:t>供应商应执行谈判文件第八章的规定要求。</w:t>
      </w:r>
    </w:p>
    <w:p>
      <w:pPr>
        <w:spacing w:line="360" w:lineRule="auto"/>
        <w:ind w:left="2" w:leftChars="1" w:firstLine="480" w:firstLineChars="200"/>
        <w:rPr>
          <w:rFonts w:ascii="宋体" w:hAnsi="宋体"/>
          <w:sz w:val="24"/>
        </w:rPr>
      </w:pPr>
      <w:r>
        <w:rPr>
          <w:rFonts w:ascii="宋体" w:hAnsi="宋体" w:cs="仿宋"/>
          <w:sz w:val="24"/>
        </w:rPr>
        <w:t xml:space="preserve">17.2 </w:t>
      </w:r>
      <w:r>
        <w:rPr>
          <w:rFonts w:hint="eastAsia" w:ascii="宋体" w:hAnsi="宋体" w:cs="仿宋"/>
          <w:sz w:val="24"/>
        </w:rPr>
        <w:t>对于谈判文件没有格式要求的由供应商自行编写。</w:t>
      </w:r>
    </w:p>
    <w:p>
      <w:pPr>
        <w:spacing w:line="360" w:lineRule="auto"/>
        <w:ind w:firstLine="472" w:firstLineChars="196"/>
        <w:rPr>
          <w:rFonts w:ascii="宋体" w:hAnsi="宋体"/>
          <w:b/>
          <w:bCs/>
          <w:sz w:val="24"/>
        </w:rPr>
      </w:pPr>
      <w:r>
        <w:rPr>
          <w:rFonts w:ascii="宋体" w:hAnsi="宋体" w:cs="仿宋"/>
          <w:b/>
          <w:bCs/>
          <w:sz w:val="24"/>
        </w:rPr>
        <w:t>18.</w:t>
      </w:r>
      <w:r>
        <w:rPr>
          <w:rFonts w:hint="eastAsia" w:ascii="宋体" w:hAnsi="宋体" w:cs="仿宋"/>
          <w:b/>
          <w:bCs/>
          <w:sz w:val="24"/>
        </w:rPr>
        <w:t>响应文件的编制和签署</w:t>
      </w:r>
    </w:p>
    <w:p>
      <w:pPr>
        <w:spacing w:line="360" w:lineRule="auto"/>
        <w:ind w:firstLine="468" w:firstLineChars="195"/>
        <w:rPr>
          <w:rFonts w:ascii="宋体" w:hAnsi="宋体"/>
          <w:sz w:val="24"/>
          <w:highlight w:val="none"/>
        </w:rPr>
      </w:pPr>
      <w:r>
        <w:rPr>
          <w:rFonts w:ascii="宋体" w:hAnsi="宋体" w:cs="仿宋"/>
          <w:sz w:val="24"/>
        </w:rPr>
        <w:t>18.</w:t>
      </w:r>
      <w:r>
        <w:rPr>
          <w:rFonts w:hint="eastAsia" w:ascii="宋体" w:hAnsi="宋体" w:cs="仿宋"/>
          <w:sz w:val="24"/>
        </w:rPr>
        <w:t>1</w:t>
      </w:r>
      <w:r>
        <w:rPr>
          <w:rFonts w:ascii="宋体" w:hAnsi="宋体" w:cs="仿宋"/>
          <w:sz w:val="24"/>
        </w:rPr>
        <w:t xml:space="preserve"> </w:t>
      </w:r>
      <w:r>
        <w:rPr>
          <w:rFonts w:hint="eastAsia" w:ascii="宋体" w:hAnsi="宋体"/>
          <w:bCs/>
          <w:color w:val="000000"/>
          <w:sz w:val="24"/>
        </w:rPr>
        <w:t>资格性</w:t>
      </w:r>
      <w:r>
        <w:rPr>
          <w:rFonts w:hint="eastAsia" w:ascii="宋体" w:hAnsi="宋体" w:cs="仿宋"/>
          <w:sz w:val="24"/>
        </w:rPr>
        <w:t>响应文件正</w:t>
      </w:r>
      <w:r>
        <w:rPr>
          <w:rFonts w:hint="eastAsia" w:ascii="宋体" w:hAnsi="宋体" w:cs="仿宋"/>
          <w:sz w:val="24"/>
          <w:highlight w:val="none"/>
        </w:rPr>
        <w:t>本</w:t>
      </w:r>
      <w:r>
        <w:rPr>
          <w:rFonts w:ascii="宋体" w:hAnsi="宋体" w:cs="仿宋"/>
          <w:sz w:val="24"/>
          <w:highlight w:val="none"/>
        </w:rPr>
        <w:t>1</w:t>
      </w:r>
      <w:r>
        <w:rPr>
          <w:rFonts w:hint="eastAsia" w:ascii="宋体" w:hAnsi="宋体" w:cs="仿宋"/>
          <w:sz w:val="24"/>
          <w:highlight w:val="none"/>
        </w:rPr>
        <w:t>份副本1份，并在其封面上清楚地标明</w:t>
      </w:r>
      <w:r>
        <w:rPr>
          <w:rFonts w:hint="eastAsia" w:ascii="宋体" w:hAnsi="宋体"/>
          <w:bCs/>
          <w:color w:val="000000"/>
          <w:sz w:val="24"/>
          <w:highlight w:val="none"/>
        </w:rPr>
        <w:t>资格性</w:t>
      </w:r>
      <w:r>
        <w:rPr>
          <w:rFonts w:hint="eastAsia" w:ascii="宋体" w:hAnsi="宋体" w:cs="仿宋"/>
          <w:sz w:val="24"/>
          <w:highlight w:val="none"/>
        </w:rPr>
        <w:t>响应文件、采购项目名称、采购项目编号、包件号及名称（若有）、供应商名称以及“正本”或“副本”字样。若正本和副本有不一致的内容，以正本书面响应文件为准，但副本和正本内容不一致造成的评审差错由供应商自行承担。</w:t>
      </w:r>
    </w:p>
    <w:p>
      <w:pPr>
        <w:spacing w:line="360" w:lineRule="auto"/>
        <w:ind w:firstLine="468" w:firstLineChars="195"/>
        <w:rPr>
          <w:rFonts w:ascii="宋体" w:hAnsi="宋体"/>
          <w:sz w:val="24"/>
        </w:rPr>
      </w:pPr>
      <w:r>
        <w:rPr>
          <w:rFonts w:ascii="宋体" w:hAnsi="宋体" w:cs="仿宋"/>
          <w:sz w:val="24"/>
          <w:highlight w:val="none"/>
        </w:rPr>
        <w:t xml:space="preserve">18.2 </w:t>
      </w:r>
      <w:r>
        <w:rPr>
          <w:rFonts w:hint="eastAsia" w:ascii="宋体" w:hAnsi="宋体"/>
          <w:bCs/>
          <w:color w:val="000000"/>
          <w:sz w:val="24"/>
          <w:highlight w:val="none"/>
        </w:rPr>
        <w:t>其他</w:t>
      </w:r>
      <w:r>
        <w:rPr>
          <w:rFonts w:hint="eastAsia" w:ascii="宋体" w:hAnsi="宋体" w:cs="仿宋"/>
          <w:sz w:val="24"/>
          <w:highlight w:val="none"/>
        </w:rPr>
        <w:t>响应文件正本</w:t>
      </w:r>
      <w:r>
        <w:rPr>
          <w:rFonts w:ascii="宋体" w:hAnsi="宋体" w:cs="仿宋"/>
          <w:sz w:val="24"/>
          <w:highlight w:val="none"/>
        </w:rPr>
        <w:t>1</w:t>
      </w:r>
      <w:r>
        <w:rPr>
          <w:rFonts w:hint="eastAsia" w:ascii="宋体" w:hAnsi="宋体" w:cs="仿宋"/>
          <w:sz w:val="24"/>
          <w:highlight w:val="none"/>
        </w:rPr>
        <w:t>份副本1</w:t>
      </w:r>
      <w:r>
        <w:rPr>
          <w:rFonts w:hint="eastAsia" w:ascii="宋体" w:hAnsi="宋体" w:cs="仿宋"/>
          <w:sz w:val="24"/>
        </w:rPr>
        <w:t>份，并在其封面上清楚地标明其他响应文件、采购项目名称、采购项目编号、包件号及名称（若有）、供应商名称以及“正本”或“副本”字样。若正本和副本有不一致的内容，以正本书面响应文件为准，但副本和正本内容不一致造成的评审差错由供应商自行承担。</w:t>
      </w:r>
    </w:p>
    <w:p>
      <w:pPr>
        <w:spacing w:line="360" w:lineRule="auto"/>
        <w:ind w:firstLine="468" w:firstLineChars="195"/>
        <w:rPr>
          <w:rFonts w:ascii="宋体" w:hAnsi="宋体"/>
          <w:sz w:val="24"/>
        </w:rPr>
      </w:pPr>
      <w:r>
        <w:rPr>
          <w:rFonts w:hint="eastAsia" w:ascii="宋体" w:hAnsi="宋体" w:cs="仿宋"/>
          <w:sz w:val="24"/>
        </w:rPr>
        <w:t>18.</w:t>
      </w:r>
      <w:r>
        <w:rPr>
          <w:rFonts w:hint="eastAsia" w:ascii="宋体" w:hAnsi="宋体" w:cs="仿宋"/>
          <w:sz w:val="24"/>
          <w:lang w:val="en-US" w:eastAsia="zh-CN"/>
        </w:rPr>
        <w:t>3</w:t>
      </w:r>
      <w:r>
        <w:rPr>
          <w:rFonts w:hint="eastAsia" w:ascii="宋体" w:hAnsi="宋体" w:cs="仿宋"/>
          <w:sz w:val="24"/>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sz w:val="24"/>
        </w:rPr>
      </w:pPr>
      <w:r>
        <w:rPr>
          <w:rFonts w:ascii="宋体" w:hAnsi="宋体" w:cs="仿宋"/>
          <w:sz w:val="24"/>
        </w:rPr>
        <w:t>18.</w:t>
      </w:r>
      <w:r>
        <w:rPr>
          <w:rFonts w:hint="eastAsia" w:ascii="宋体" w:hAnsi="宋体" w:cs="仿宋"/>
          <w:sz w:val="24"/>
          <w:lang w:val="en-US" w:eastAsia="zh-CN"/>
        </w:rPr>
        <w:t>4</w:t>
      </w:r>
      <w:r>
        <w:rPr>
          <w:rFonts w:hint="eastAsia" w:ascii="宋体" w:hAnsi="宋体" w:cs="仿宋"/>
          <w:sz w:val="24"/>
        </w:rPr>
        <w:t>响应文件的打印和书写应清楚工整，任何行间插字、涂改或增删，必须由供应商的法定代表人</w:t>
      </w:r>
      <w:r>
        <w:rPr>
          <w:rFonts w:ascii="宋体" w:hAnsi="宋体" w:cs="仿宋"/>
          <w:sz w:val="24"/>
        </w:rPr>
        <w:t>/</w:t>
      </w:r>
      <w:r>
        <w:rPr>
          <w:rFonts w:hint="eastAsia" w:ascii="宋体" w:hAnsi="宋体" w:cs="仿宋"/>
          <w:sz w:val="24"/>
        </w:rPr>
        <w:t>单位负责人或其授权代表签字并盖供应商公章。</w:t>
      </w:r>
    </w:p>
    <w:p>
      <w:pPr>
        <w:spacing w:line="360" w:lineRule="auto"/>
        <w:ind w:firstLine="468" w:firstLineChars="195"/>
        <w:rPr>
          <w:rFonts w:ascii="宋体" w:hAnsi="宋体"/>
          <w:sz w:val="24"/>
        </w:rPr>
      </w:pPr>
      <w:r>
        <w:rPr>
          <w:rFonts w:ascii="宋体" w:hAnsi="宋体" w:cs="仿宋"/>
          <w:sz w:val="24"/>
        </w:rPr>
        <w:t>18.</w:t>
      </w:r>
      <w:r>
        <w:rPr>
          <w:rFonts w:hint="eastAsia" w:ascii="宋体" w:hAnsi="宋体" w:cs="仿宋"/>
          <w:sz w:val="24"/>
          <w:lang w:val="en-US" w:eastAsia="zh-CN"/>
        </w:rPr>
        <w:t>5</w:t>
      </w:r>
      <w:r>
        <w:rPr>
          <w:rFonts w:hint="eastAsia" w:ascii="宋体" w:hAnsi="宋体" w:cs="仿宋"/>
          <w:b/>
          <w:bCs/>
          <w:sz w:val="24"/>
        </w:rPr>
        <w:t>（实质性要求）</w:t>
      </w:r>
      <w:r>
        <w:rPr>
          <w:rFonts w:hint="eastAsia" w:ascii="宋体" w:hAnsi="宋体" w:cs="仿宋"/>
          <w:sz w:val="24"/>
        </w:rPr>
        <w:t>响应文件应由供应商法定代表人</w:t>
      </w:r>
      <w:r>
        <w:rPr>
          <w:rFonts w:ascii="宋体" w:hAnsi="宋体" w:cs="仿宋"/>
          <w:sz w:val="24"/>
        </w:rPr>
        <w:t>/</w:t>
      </w:r>
      <w:r>
        <w:rPr>
          <w:rFonts w:hint="eastAsia" w:ascii="宋体" w:hAnsi="宋体" w:cs="仿宋"/>
          <w:sz w:val="24"/>
        </w:rPr>
        <w:t>主要负责人</w:t>
      </w:r>
      <w:r>
        <w:rPr>
          <w:rFonts w:ascii="宋体" w:hAnsi="宋体" w:cs="仿宋"/>
          <w:sz w:val="24"/>
        </w:rPr>
        <w:t>/</w:t>
      </w:r>
      <w:r>
        <w:rPr>
          <w:rFonts w:hint="eastAsia" w:ascii="宋体" w:hAnsi="宋体" w:cs="仿宋"/>
          <w:sz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sz w:val="24"/>
        </w:rPr>
      </w:pPr>
      <w:r>
        <w:rPr>
          <w:rFonts w:ascii="宋体" w:hAnsi="宋体" w:cs="仿宋"/>
          <w:sz w:val="24"/>
        </w:rPr>
        <w:t>18.</w:t>
      </w:r>
      <w:r>
        <w:rPr>
          <w:rFonts w:hint="eastAsia" w:ascii="宋体" w:hAnsi="宋体" w:cs="仿宋"/>
          <w:sz w:val="24"/>
          <w:lang w:val="en-US" w:eastAsia="zh-CN"/>
        </w:rPr>
        <w:t>6</w:t>
      </w:r>
      <w:r>
        <w:rPr>
          <w:rFonts w:hint="eastAsia" w:ascii="宋体" w:hAnsi="宋体" w:cs="仿宋"/>
          <w:sz w:val="24"/>
        </w:rPr>
        <w:t>响应文件正本和副本需要逐页编目编码。</w:t>
      </w:r>
    </w:p>
    <w:p>
      <w:pPr>
        <w:tabs>
          <w:tab w:val="left" w:pos="1080"/>
        </w:tabs>
        <w:spacing w:line="360" w:lineRule="auto"/>
        <w:ind w:firstLine="460" w:firstLineChars="192"/>
        <w:rPr>
          <w:rFonts w:ascii="宋体" w:hAnsi="宋体"/>
          <w:sz w:val="24"/>
        </w:rPr>
      </w:pPr>
      <w:r>
        <w:rPr>
          <w:rFonts w:ascii="宋体" w:hAnsi="宋体" w:cs="仿宋"/>
          <w:sz w:val="24"/>
        </w:rPr>
        <w:t>18.</w:t>
      </w:r>
      <w:r>
        <w:rPr>
          <w:rFonts w:hint="eastAsia" w:ascii="宋体" w:hAnsi="宋体" w:cs="仿宋"/>
          <w:sz w:val="24"/>
          <w:lang w:val="en-US" w:eastAsia="zh-CN"/>
        </w:rPr>
        <w:t>7</w:t>
      </w:r>
      <w:r>
        <w:rPr>
          <w:rFonts w:hint="eastAsia" w:ascii="宋体" w:hAnsi="宋体" w:cs="仿宋"/>
          <w:sz w:val="24"/>
        </w:rPr>
        <w:t>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ascii="宋体" w:hAnsi="宋体" w:cs="仿宋"/>
          <w:sz w:val="24"/>
        </w:rPr>
        <w:t>18.</w:t>
      </w:r>
      <w:r>
        <w:rPr>
          <w:rFonts w:hint="eastAsia" w:ascii="宋体" w:hAnsi="宋体" w:cs="仿宋"/>
          <w:sz w:val="24"/>
          <w:lang w:val="en-US" w:eastAsia="zh-CN"/>
        </w:rPr>
        <w:t>8</w:t>
      </w:r>
      <w:r>
        <w:rPr>
          <w:rFonts w:hint="eastAsia" w:ascii="宋体" w:hAnsi="宋体" w:cs="仿宋"/>
          <w:b/>
          <w:bCs/>
          <w:sz w:val="24"/>
        </w:rPr>
        <w:t>（实质性要求）</w:t>
      </w:r>
      <w:r>
        <w:rPr>
          <w:rFonts w:hint="eastAsia" w:ascii="宋体" w:hAnsi="宋体" w:cs="仿宋"/>
          <w:sz w:val="24"/>
        </w:rPr>
        <w:t>响应文件应按谈判文件的要求签署、盖章。</w:t>
      </w:r>
    </w:p>
    <w:p>
      <w:pPr>
        <w:tabs>
          <w:tab w:val="left" w:pos="1080"/>
        </w:tabs>
        <w:spacing w:line="360" w:lineRule="auto"/>
        <w:ind w:firstLine="460" w:firstLineChars="192"/>
        <w:rPr>
          <w:rFonts w:ascii="宋体" w:hAnsi="宋体"/>
          <w:sz w:val="24"/>
        </w:rPr>
      </w:pPr>
      <w:r>
        <w:rPr>
          <w:rFonts w:ascii="宋体" w:hAnsi="宋体" w:cs="仿宋"/>
          <w:sz w:val="24"/>
        </w:rPr>
        <w:t>18.</w:t>
      </w:r>
      <w:r>
        <w:rPr>
          <w:rFonts w:hint="eastAsia" w:ascii="宋体" w:hAnsi="宋体" w:cs="仿宋"/>
          <w:sz w:val="24"/>
          <w:lang w:val="en-US" w:eastAsia="zh-CN"/>
        </w:rPr>
        <w:t>9</w:t>
      </w:r>
      <w:r>
        <w:rPr>
          <w:rFonts w:hint="eastAsia" w:ascii="宋体" w:hAnsi="宋体" w:cs="仿宋"/>
          <w:sz w:val="24"/>
        </w:rPr>
        <w:t>提供纸质响应文件的，响应文件统一用</w:t>
      </w:r>
      <w:r>
        <w:rPr>
          <w:rFonts w:ascii="宋体" w:hAnsi="宋体" w:cs="仿宋"/>
          <w:sz w:val="24"/>
        </w:rPr>
        <w:t>A4</w:t>
      </w:r>
      <w:r>
        <w:rPr>
          <w:rFonts w:hint="eastAsia" w:ascii="宋体" w:hAnsi="宋体" w:cs="仿宋"/>
          <w:sz w:val="24"/>
        </w:rPr>
        <w:t>幅面纸印制，除另有规定外。</w:t>
      </w:r>
    </w:p>
    <w:p>
      <w:pPr>
        <w:tabs>
          <w:tab w:val="left" w:pos="1080"/>
        </w:tabs>
        <w:spacing w:line="360" w:lineRule="auto"/>
        <w:ind w:firstLine="463" w:firstLineChars="192"/>
        <w:rPr>
          <w:rFonts w:ascii="宋体" w:hAnsi="宋体"/>
          <w:b/>
          <w:bCs/>
          <w:sz w:val="24"/>
        </w:rPr>
      </w:pPr>
      <w:r>
        <w:rPr>
          <w:rFonts w:ascii="宋体" w:hAnsi="宋体" w:cs="仿宋"/>
          <w:b/>
          <w:bCs/>
          <w:sz w:val="24"/>
        </w:rPr>
        <w:t>19.</w:t>
      </w:r>
      <w:r>
        <w:rPr>
          <w:rFonts w:hint="eastAsia" w:ascii="宋体" w:hAnsi="宋体" w:cs="仿宋"/>
          <w:b/>
          <w:bCs/>
          <w:sz w:val="24"/>
        </w:rPr>
        <w:t>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仿宋"/>
          <w:sz w:val="24"/>
        </w:rPr>
      </w:pPr>
      <w:r>
        <w:rPr>
          <w:rFonts w:hint="eastAsia" w:ascii="宋体" w:hAnsi="宋体" w:cs="仿宋"/>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仿宋"/>
          <w:sz w:val="24"/>
        </w:rPr>
      </w:pPr>
      <w:r>
        <w:rPr>
          <w:rFonts w:hint="eastAsia" w:ascii="宋体" w:hAnsi="宋体" w:cs="仿宋"/>
          <w:sz w:val="24"/>
        </w:rPr>
        <w:t>19.2 响应文件密封袋的最外层应清楚地标明采购项目名称、供应商名称。</w:t>
      </w:r>
    </w:p>
    <w:p>
      <w:pPr>
        <w:tabs>
          <w:tab w:val="left" w:pos="1080"/>
        </w:tabs>
        <w:spacing w:line="360" w:lineRule="auto"/>
        <w:ind w:firstLine="460" w:firstLineChars="192"/>
        <w:rPr>
          <w:rFonts w:ascii="宋体" w:hAnsi="宋体" w:cs="仿宋"/>
          <w:sz w:val="24"/>
        </w:rPr>
      </w:pPr>
      <w:r>
        <w:rPr>
          <w:rFonts w:hint="eastAsia" w:ascii="宋体" w:hAnsi="宋体" w:cs="仿宋"/>
          <w:sz w:val="24"/>
        </w:rPr>
        <w:t>19.3 所有外层密封袋的封口处应粘贴牢固。</w:t>
      </w:r>
    </w:p>
    <w:p>
      <w:pPr>
        <w:tabs>
          <w:tab w:val="left" w:pos="1080"/>
        </w:tabs>
        <w:spacing w:line="360" w:lineRule="auto"/>
        <w:ind w:firstLine="460" w:firstLineChars="192"/>
        <w:rPr>
          <w:rFonts w:ascii="宋体" w:hAnsi="宋体" w:cs="仿宋"/>
          <w:sz w:val="24"/>
        </w:rPr>
      </w:pPr>
      <w:r>
        <w:rPr>
          <w:rFonts w:hint="eastAsia" w:ascii="宋体" w:hAnsi="宋体" w:cs="仿宋"/>
          <w:sz w:val="24"/>
        </w:rPr>
        <w:t>19.4 未按以上要求进行密封和标注的响应文件，采购人、采购代理机构将拒收或者在时间允许的范围内，要求修改完善后接收。</w:t>
      </w:r>
    </w:p>
    <w:p>
      <w:pPr>
        <w:tabs>
          <w:tab w:val="left" w:pos="1080"/>
        </w:tabs>
        <w:spacing w:line="360" w:lineRule="auto"/>
        <w:ind w:firstLine="463" w:firstLineChars="192"/>
        <w:rPr>
          <w:rFonts w:ascii="宋体" w:hAnsi="宋体"/>
          <w:b/>
          <w:bCs/>
          <w:sz w:val="24"/>
        </w:rPr>
      </w:pPr>
      <w:r>
        <w:rPr>
          <w:rFonts w:ascii="宋体" w:hAnsi="宋体" w:cs="仿宋"/>
          <w:b/>
          <w:bCs/>
          <w:sz w:val="24"/>
        </w:rPr>
        <w:t>20.</w:t>
      </w:r>
      <w:r>
        <w:rPr>
          <w:rFonts w:hint="eastAsia" w:ascii="宋体" w:hAnsi="宋体" w:cs="仿宋"/>
          <w:b/>
          <w:bCs/>
          <w:sz w:val="24"/>
        </w:rPr>
        <w:t>响应文件的递交</w:t>
      </w:r>
    </w:p>
    <w:p>
      <w:pPr>
        <w:tabs>
          <w:tab w:val="left" w:pos="1080"/>
        </w:tabs>
        <w:spacing w:line="360" w:lineRule="auto"/>
        <w:ind w:firstLine="460" w:firstLineChars="192"/>
        <w:rPr>
          <w:rFonts w:ascii="宋体" w:hAnsi="宋体" w:cs="仿宋"/>
          <w:sz w:val="24"/>
        </w:rPr>
      </w:pPr>
      <w:r>
        <w:rPr>
          <w:rFonts w:hint="eastAsia" w:ascii="宋体" w:hAnsi="宋体" w:cs="仿宋"/>
          <w:sz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仿宋"/>
          <w:sz w:val="24"/>
        </w:rPr>
      </w:pPr>
      <w:r>
        <w:rPr>
          <w:rFonts w:hint="eastAsia" w:ascii="宋体" w:hAnsi="宋体" w:cs="仿宋"/>
          <w:sz w:val="24"/>
        </w:rPr>
        <w:t>20.</w:t>
      </w:r>
      <w:r>
        <w:rPr>
          <w:rFonts w:hint="eastAsia" w:ascii="宋体" w:hAnsi="宋体" w:cs="仿宋"/>
          <w:sz w:val="24"/>
          <w:lang w:val="en-US" w:eastAsia="zh-CN"/>
        </w:rPr>
        <w:t>2</w:t>
      </w:r>
      <w:r>
        <w:rPr>
          <w:rFonts w:hint="eastAsia" w:ascii="宋体" w:hAnsi="宋体" w:cs="仿宋"/>
          <w:sz w:val="24"/>
        </w:rPr>
        <w:t xml:space="preserve"> 报价表在谈判后，谈判小组要求供应商进行最后报价时递交。</w:t>
      </w:r>
    </w:p>
    <w:p>
      <w:pPr>
        <w:tabs>
          <w:tab w:val="left" w:pos="1080"/>
        </w:tabs>
        <w:spacing w:line="360" w:lineRule="auto"/>
        <w:ind w:firstLine="460" w:firstLineChars="192"/>
        <w:rPr>
          <w:rFonts w:ascii="宋体" w:hAnsi="宋体"/>
          <w:sz w:val="24"/>
        </w:rPr>
      </w:pPr>
      <w:r>
        <w:rPr>
          <w:rFonts w:hint="eastAsia" w:ascii="宋体" w:hAnsi="宋体" w:cs="仿宋"/>
          <w:sz w:val="24"/>
        </w:rPr>
        <w:t>20.</w:t>
      </w:r>
      <w:r>
        <w:rPr>
          <w:rFonts w:hint="eastAsia" w:ascii="宋体" w:hAnsi="宋体" w:cs="仿宋"/>
          <w:sz w:val="24"/>
          <w:lang w:val="en-US" w:eastAsia="zh-CN"/>
        </w:rPr>
        <w:t>3</w:t>
      </w:r>
      <w:r>
        <w:rPr>
          <w:rFonts w:hint="eastAsia" w:ascii="宋体" w:hAnsi="宋体" w:cs="仿宋"/>
          <w:sz w:val="24"/>
        </w:rPr>
        <w:t xml:space="preserve"> 本次采购不接收邮寄的响应文件。</w:t>
      </w:r>
    </w:p>
    <w:p>
      <w:pPr>
        <w:tabs>
          <w:tab w:val="left" w:pos="1080"/>
        </w:tabs>
        <w:spacing w:line="360" w:lineRule="auto"/>
        <w:ind w:firstLine="463" w:firstLineChars="192"/>
        <w:rPr>
          <w:rFonts w:ascii="宋体" w:hAnsi="宋体"/>
          <w:b/>
          <w:bCs/>
          <w:sz w:val="24"/>
        </w:rPr>
      </w:pPr>
      <w:r>
        <w:rPr>
          <w:rFonts w:ascii="宋体" w:hAnsi="宋体" w:cs="仿宋"/>
          <w:b/>
          <w:bCs/>
          <w:sz w:val="24"/>
        </w:rPr>
        <w:t>21.</w:t>
      </w:r>
      <w:r>
        <w:rPr>
          <w:rFonts w:hint="eastAsia" w:ascii="宋体" w:hAnsi="宋体" w:cs="仿宋"/>
          <w:b/>
          <w:bCs/>
          <w:sz w:val="24"/>
        </w:rPr>
        <w:t>响应文件的修改和撤回（补充、修改响应文件的密封和标注按照本章“</w:t>
      </w:r>
      <w:r>
        <w:rPr>
          <w:rFonts w:ascii="宋体" w:hAnsi="宋体" w:cs="仿宋"/>
          <w:b/>
          <w:bCs/>
          <w:sz w:val="24"/>
        </w:rPr>
        <w:t>19.</w:t>
      </w:r>
      <w:r>
        <w:rPr>
          <w:rFonts w:hint="eastAsia" w:ascii="宋体" w:hAnsi="宋体" w:cs="仿宋"/>
          <w:b/>
          <w:bCs/>
          <w:sz w:val="24"/>
        </w:rPr>
        <w:t>响应文件的密封和标注”规定处理）</w:t>
      </w:r>
    </w:p>
    <w:p>
      <w:pPr>
        <w:pStyle w:val="15"/>
        <w:spacing w:line="360" w:lineRule="auto"/>
        <w:ind w:firstLine="480"/>
        <w:rPr>
          <w:rFonts w:ascii="宋体" w:hAnsi="宋体"/>
          <w:sz w:val="24"/>
        </w:rPr>
      </w:pPr>
      <w:r>
        <w:rPr>
          <w:rFonts w:ascii="宋体" w:hAnsi="宋体" w:cs="仿宋"/>
          <w:sz w:val="24"/>
        </w:rPr>
        <w:t>21.1</w:t>
      </w:r>
      <w:r>
        <w:rPr>
          <w:rFonts w:hint="eastAsia" w:ascii="宋体" w:hAnsi="宋体" w:cs="仿宋"/>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sz w:val="24"/>
        </w:rPr>
      </w:pPr>
      <w:r>
        <w:rPr>
          <w:rFonts w:ascii="宋体" w:hAnsi="宋体" w:cs="仿宋"/>
          <w:sz w:val="24"/>
        </w:rPr>
        <w:t>21.2</w:t>
      </w:r>
      <w:r>
        <w:rPr>
          <w:rFonts w:hint="eastAsia" w:ascii="宋体" w:hAnsi="宋体" w:cs="仿宋"/>
          <w:sz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r>
        <w:rPr>
          <w:rFonts w:ascii="宋体" w:hAnsi="宋体" w:cs="仿宋"/>
          <w:sz w:val="24"/>
        </w:rPr>
        <w:t>21.3</w:t>
      </w:r>
      <w:r>
        <w:rPr>
          <w:rFonts w:hint="eastAsia" w:ascii="宋体" w:hAnsi="宋体" w:cs="仿宋"/>
          <w:sz w:val="24"/>
        </w:rPr>
        <w:t>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仿宋"/>
          <w:sz w:val="24"/>
        </w:rPr>
      </w:pPr>
      <w:r>
        <w:rPr>
          <w:rFonts w:ascii="宋体" w:hAnsi="宋体" w:cs="仿宋"/>
          <w:sz w:val="24"/>
        </w:rPr>
        <w:t>21.4</w:t>
      </w:r>
      <w:r>
        <w:rPr>
          <w:rFonts w:hint="eastAsia" w:ascii="宋体" w:hAnsi="宋体" w:cs="仿宋"/>
          <w:sz w:val="24"/>
        </w:rPr>
        <w:t>响应文件中报价如果出现下列不一致的，可按以下原则进行修改：</w:t>
      </w:r>
    </w:p>
    <w:p>
      <w:pPr>
        <w:spacing w:line="360" w:lineRule="auto"/>
        <w:ind w:firstLine="480"/>
        <w:rPr>
          <w:rFonts w:ascii="宋体" w:hAnsi="宋体" w:cs="仿宋"/>
          <w:sz w:val="24"/>
        </w:rPr>
      </w:pPr>
      <w:r>
        <w:rPr>
          <w:rFonts w:hint="eastAsia" w:ascii="宋体" w:hAnsi="宋体" w:cs="仿宋"/>
          <w:sz w:val="24"/>
        </w:rPr>
        <w:t>（一）大写金额和小写金额不一致的，以大写金额为准，但大写金额文字存在错误的，应当先对大写金额的文字错误进行澄清、说明或者更正，再行修正。</w:t>
      </w:r>
    </w:p>
    <w:p>
      <w:pPr>
        <w:spacing w:line="360" w:lineRule="auto"/>
        <w:ind w:firstLine="480"/>
        <w:rPr>
          <w:rFonts w:ascii="宋体" w:hAnsi="宋体" w:cs="仿宋"/>
          <w:sz w:val="24"/>
        </w:rPr>
      </w:pPr>
      <w:r>
        <w:rPr>
          <w:rFonts w:hint="eastAsia" w:ascii="宋体" w:hAnsi="宋体" w:cs="仿宋"/>
          <w:sz w:val="24"/>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ascii="宋体" w:hAnsi="宋体" w:cs="仿宋"/>
          <w:sz w:val="24"/>
        </w:rPr>
      </w:pPr>
      <w:r>
        <w:rPr>
          <w:rFonts w:hint="eastAsia" w:ascii="宋体" w:hAnsi="宋体" w:cs="仿宋"/>
          <w:sz w:val="24"/>
        </w:rPr>
        <w:t>（三）单价金额小数点或者百分比有明显错位的，以总价为准，修正单价。</w:t>
      </w:r>
    </w:p>
    <w:p>
      <w:pPr>
        <w:spacing w:line="360" w:lineRule="auto"/>
        <w:ind w:firstLine="480"/>
        <w:rPr>
          <w:rFonts w:ascii="宋体" w:hAnsi="宋体" w:cs="仿宋"/>
          <w:sz w:val="24"/>
        </w:rPr>
      </w:pPr>
      <w:r>
        <w:rPr>
          <w:rFonts w:hint="eastAsia" w:ascii="宋体" w:hAnsi="宋体" w:cs="仿宋"/>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sz w:val="24"/>
        </w:rPr>
      </w:pPr>
      <w:r>
        <w:rPr>
          <w:rFonts w:hint="eastAsia" w:ascii="宋体" w:hAnsi="宋体" w:cs="仿宋"/>
          <w:sz w:val="24"/>
        </w:rPr>
        <w:t>21.5供应商对其提交的响应文件的真实性、合法性承担法律责任。</w:t>
      </w:r>
    </w:p>
    <w:p>
      <w:pPr>
        <w:pStyle w:val="4"/>
        <w:spacing w:line="400" w:lineRule="exact"/>
        <w:jc w:val="center"/>
        <w:rPr>
          <w:rFonts w:ascii="宋体" w:hAnsi="宋体" w:eastAsia="宋体"/>
          <w:bCs w:val="0"/>
        </w:rPr>
      </w:pPr>
      <w:r>
        <w:rPr>
          <w:rFonts w:hint="eastAsia" w:ascii="宋体" w:hAnsi="宋体" w:eastAsia="宋体"/>
          <w:bCs w:val="0"/>
        </w:rPr>
        <w:t>五、评审</w:t>
      </w:r>
    </w:p>
    <w:p>
      <w:pPr>
        <w:spacing w:line="360" w:lineRule="auto"/>
        <w:ind w:firstLine="480"/>
        <w:rPr>
          <w:rFonts w:ascii="宋体" w:hAnsi="宋体" w:cs="仿宋"/>
          <w:b/>
          <w:bCs/>
          <w:sz w:val="24"/>
        </w:rPr>
      </w:pPr>
      <w:r>
        <w:rPr>
          <w:rFonts w:ascii="宋体" w:hAnsi="宋体" w:cs="仿宋"/>
          <w:b/>
          <w:bCs/>
          <w:sz w:val="24"/>
        </w:rPr>
        <w:t>22</w:t>
      </w:r>
      <w:r>
        <w:rPr>
          <w:rFonts w:hint="eastAsia" w:ascii="宋体" w:hAnsi="宋体" w:cs="仿宋"/>
          <w:b/>
          <w:bCs/>
          <w:sz w:val="24"/>
        </w:rPr>
        <w:t>.评审</w:t>
      </w:r>
    </w:p>
    <w:p>
      <w:pPr>
        <w:spacing w:line="360" w:lineRule="auto"/>
        <w:ind w:firstLine="480"/>
        <w:rPr>
          <w:rFonts w:ascii="宋体" w:hAnsi="宋体" w:cs="仿宋"/>
          <w:sz w:val="24"/>
        </w:rPr>
      </w:pPr>
      <w:r>
        <w:rPr>
          <w:rFonts w:hint="eastAsia" w:ascii="宋体" w:hAnsi="宋体" w:cs="仿宋"/>
          <w:sz w:val="24"/>
        </w:rPr>
        <w:t>谈判小组的组建及其评审工作按照有关法律制度和本文件第九章的规定进行。</w:t>
      </w:r>
    </w:p>
    <w:p>
      <w:pPr>
        <w:pStyle w:val="4"/>
        <w:spacing w:line="400" w:lineRule="exact"/>
        <w:jc w:val="center"/>
        <w:rPr>
          <w:rFonts w:ascii="宋体" w:hAnsi="宋体" w:eastAsia="宋体"/>
          <w:bCs w:val="0"/>
        </w:rPr>
      </w:pPr>
      <w:r>
        <w:rPr>
          <w:rFonts w:hint="eastAsia" w:ascii="宋体" w:hAnsi="宋体" w:eastAsia="宋体"/>
          <w:bCs w:val="0"/>
        </w:rPr>
        <w:t>六、成交事项</w:t>
      </w:r>
    </w:p>
    <w:p>
      <w:pPr>
        <w:pStyle w:val="4"/>
        <w:keepNext w:val="0"/>
        <w:keepLines w:val="0"/>
        <w:spacing w:after="0" w:line="360" w:lineRule="auto"/>
        <w:ind w:firstLine="482" w:firstLineChars="200"/>
        <w:rPr>
          <w:rFonts w:ascii="宋体" w:hAnsi="宋体" w:eastAsia="宋体"/>
          <w:sz w:val="24"/>
          <w:szCs w:val="24"/>
        </w:rPr>
      </w:pPr>
      <w:r>
        <w:rPr>
          <w:rFonts w:ascii="宋体" w:hAnsi="宋体" w:eastAsia="宋体" w:cs="仿宋"/>
          <w:sz w:val="24"/>
          <w:szCs w:val="24"/>
        </w:rPr>
        <w:t>23.</w:t>
      </w:r>
      <w:r>
        <w:rPr>
          <w:rFonts w:hint="eastAsia" w:ascii="宋体" w:hAnsi="宋体" w:eastAsia="宋体" w:cs="仿宋"/>
          <w:sz w:val="24"/>
          <w:szCs w:val="24"/>
        </w:rPr>
        <w:t>确定成交供应商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23.1</w:t>
      </w:r>
      <w:r>
        <w:rPr>
          <w:rFonts w:hint="eastAsia" w:ascii="宋体" w:hAnsi="宋体" w:eastAsia="宋体" w:cs="仿宋"/>
          <w:b w:val="0"/>
          <w:bCs w:val="0"/>
          <w:sz w:val="24"/>
          <w:szCs w:val="24"/>
        </w:rPr>
        <w:t>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23.3</w:t>
      </w:r>
      <w:r>
        <w:rPr>
          <w:rFonts w:hint="eastAsia" w:ascii="宋体" w:hAnsi="宋体" w:eastAsia="宋体" w:cs="仿宋"/>
          <w:b w:val="0"/>
          <w:bCs w:val="0"/>
          <w:sz w:val="24"/>
          <w:szCs w:val="24"/>
        </w:rPr>
        <w:t>采购人收到谈判报告及有关资料后，将在</w:t>
      </w:r>
      <w:r>
        <w:rPr>
          <w:rFonts w:ascii="宋体" w:hAnsi="宋体" w:eastAsia="宋体" w:cs="仿宋"/>
          <w:b w:val="0"/>
          <w:bCs w:val="0"/>
          <w:sz w:val="24"/>
          <w:szCs w:val="24"/>
        </w:rPr>
        <w:t>5</w:t>
      </w:r>
      <w:r>
        <w:rPr>
          <w:rFonts w:hint="eastAsia" w:ascii="宋体" w:hAnsi="宋体" w:eastAsia="宋体" w:cs="仿宋"/>
          <w:b w:val="0"/>
          <w:bCs w:val="0"/>
          <w:sz w:val="24"/>
          <w:szCs w:val="24"/>
        </w:rPr>
        <w:t>个工作日内按照谈判报告中推荐的成交候选供应商顺序确定成交供应商。最后报价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23.4</w:t>
      </w:r>
      <w:r>
        <w:rPr>
          <w:rFonts w:hint="eastAsia" w:ascii="宋体" w:hAnsi="宋体" w:eastAsia="宋体" w:cs="仿宋"/>
          <w:b w:val="0"/>
          <w:bCs w:val="0"/>
          <w:sz w:val="24"/>
          <w:szCs w:val="24"/>
        </w:rPr>
        <w:t>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1</w:t>
      </w:r>
      <w:r>
        <w:rPr>
          <w:rFonts w:hint="eastAsia" w:ascii="宋体" w:hAnsi="宋体" w:eastAsia="宋体" w:cs="仿宋"/>
          <w:b w:val="0"/>
          <w:bCs w:val="0"/>
          <w:sz w:val="24"/>
          <w:szCs w:val="24"/>
        </w:rPr>
        <w:t>）成交候选供应商属于禁止参加本项目采购活动的；</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2</w:t>
      </w:r>
      <w:r>
        <w:rPr>
          <w:rFonts w:hint="eastAsia" w:ascii="宋体" w:hAnsi="宋体" w:eastAsia="宋体" w:cs="仿宋"/>
          <w:b w:val="0"/>
          <w:bCs w:val="0"/>
          <w:sz w:val="24"/>
          <w:szCs w:val="24"/>
        </w:rPr>
        <w:t>）成交候选供应商因不可抗力，不能继续参加采购活动；</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3</w:t>
      </w:r>
      <w:r>
        <w:rPr>
          <w:rFonts w:hint="eastAsia" w:ascii="宋体" w:hAnsi="宋体" w:eastAsia="宋体" w:cs="仿宋"/>
          <w:b w:val="0"/>
          <w:bCs w:val="0"/>
          <w:sz w:val="24"/>
          <w:szCs w:val="24"/>
        </w:rPr>
        <w:t>）成交候选供应商无偿赠与或者低于成本价竞争；</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4</w:t>
      </w:r>
      <w:r>
        <w:rPr>
          <w:rFonts w:hint="eastAsia" w:ascii="宋体" w:hAnsi="宋体" w:eastAsia="宋体" w:cs="仿宋"/>
          <w:b w:val="0"/>
          <w:bCs w:val="0"/>
          <w:sz w:val="24"/>
          <w:szCs w:val="24"/>
        </w:rPr>
        <w:t>）成交候选供应商提供虚假材料；</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5</w:t>
      </w:r>
      <w:r>
        <w:rPr>
          <w:rFonts w:hint="eastAsia" w:ascii="宋体" w:hAnsi="宋体" w:eastAsia="宋体" w:cs="仿宋"/>
          <w:b w:val="0"/>
          <w:bCs w:val="0"/>
          <w:sz w:val="24"/>
          <w:szCs w:val="24"/>
        </w:rPr>
        <w:t>）成交候选供应商恶意串通。</w:t>
      </w:r>
    </w:p>
    <w:p>
      <w:pPr>
        <w:pStyle w:val="4"/>
        <w:keepNext w:val="0"/>
        <w:keepLines w:val="0"/>
        <w:spacing w:before="0" w:after="0" w:line="360" w:lineRule="auto"/>
        <w:ind w:firstLine="480" w:firstLineChars="200"/>
      </w:pPr>
      <w:r>
        <w:rPr>
          <w:rFonts w:hint="eastAsia" w:ascii="宋体" w:hAnsi="宋体" w:eastAsia="宋体" w:cs="仿宋"/>
          <w:b w:val="0"/>
          <w:bCs w:val="0"/>
          <w:sz w:val="24"/>
          <w:szCs w:val="24"/>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360" w:lineRule="auto"/>
        <w:ind w:firstLine="482" w:firstLineChars="200"/>
        <w:rPr>
          <w:rFonts w:ascii="宋体" w:hAnsi="宋体" w:eastAsia="宋体"/>
          <w:sz w:val="24"/>
          <w:szCs w:val="24"/>
        </w:rPr>
      </w:pPr>
      <w:r>
        <w:rPr>
          <w:rFonts w:ascii="宋体" w:hAnsi="宋体" w:eastAsia="宋体" w:cs="仿宋"/>
          <w:sz w:val="24"/>
          <w:szCs w:val="24"/>
        </w:rPr>
        <w:t>24.</w:t>
      </w:r>
      <w:r>
        <w:rPr>
          <w:rFonts w:hint="eastAsia" w:ascii="宋体" w:hAnsi="宋体" w:eastAsia="宋体" w:cs="仿宋"/>
          <w:sz w:val="24"/>
          <w:szCs w:val="24"/>
        </w:rPr>
        <w:t>成交结果</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24.1</w:t>
      </w:r>
      <w:r>
        <w:rPr>
          <w:rFonts w:hint="eastAsia" w:ascii="宋体" w:hAnsi="宋体" w:eastAsia="宋体" w:cs="仿宋"/>
          <w:b w:val="0"/>
          <w:bCs w:val="0"/>
          <w:sz w:val="24"/>
          <w:szCs w:val="24"/>
        </w:rPr>
        <w:t>采购人确定成交供应商后，发出成交通知书并发布成交结果公告。</w:t>
      </w:r>
    </w:p>
    <w:p>
      <w:pPr>
        <w:spacing w:line="360" w:lineRule="auto"/>
        <w:ind w:firstLine="480" w:firstLineChars="200"/>
        <w:rPr>
          <w:rFonts w:ascii="宋体" w:hAnsi="宋体"/>
          <w:sz w:val="24"/>
        </w:rPr>
      </w:pPr>
      <w:r>
        <w:rPr>
          <w:rFonts w:ascii="宋体" w:hAnsi="宋体" w:cs="仿宋"/>
          <w:sz w:val="24"/>
        </w:rPr>
        <w:t>24.2</w:t>
      </w:r>
      <w:r>
        <w:rPr>
          <w:rFonts w:hint="eastAsia" w:ascii="宋体" w:hAnsi="宋体" w:cs="仿宋"/>
          <w:sz w:val="24"/>
        </w:rPr>
        <w:t>成交供应商应当及时领取成交通知书。本项目需要交纳履约保证金的，成交供应商应当及时向采购人交纳。</w:t>
      </w:r>
    </w:p>
    <w:p>
      <w:pPr>
        <w:pStyle w:val="4"/>
        <w:keepNext w:val="0"/>
        <w:keepLines w:val="0"/>
        <w:spacing w:before="0" w:after="0" w:line="360" w:lineRule="auto"/>
        <w:ind w:firstLine="482" w:firstLineChars="200"/>
        <w:rPr>
          <w:rFonts w:ascii="宋体" w:hAnsi="宋体" w:eastAsia="宋体"/>
          <w:sz w:val="24"/>
          <w:szCs w:val="24"/>
        </w:rPr>
      </w:pPr>
      <w:r>
        <w:rPr>
          <w:rFonts w:ascii="宋体" w:hAnsi="宋体" w:eastAsia="宋体" w:cs="仿宋"/>
          <w:sz w:val="24"/>
          <w:szCs w:val="24"/>
        </w:rPr>
        <w:t>25.</w:t>
      </w:r>
      <w:r>
        <w:rPr>
          <w:rFonts w:hint="eastAsia" w:ascii="宋体" w:hAnsi="宋体" w:eastAsia="宋体" w:cs="仿宋"/>
          <w:sz w:val="24"/>
          <w:szCs w:val="24"/>
        </w:rPr>
        <w:t>成交通知书</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25.1</w:t>
      </w:r>
      <w:r>
        <w:rPr>
          <w:rFonts w:hint="eastAsia" w:ascii="宋体" w:hAnsi="宋体" w:eastAsia="宋体" w:cs="仿宋"/>
          <w:b w:val="0"/>
          <w:bCs w:val="0"/>
          <w:sz w:val="24"/>
          <w:szCs w:val="24"/>
        </w:rPr>
        <w:t>成交通知书为签订采购合同的依据之一，是合同的有效组成部分。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25.2</w:t>
      </w:r>
      <w:r>
        <w:rPr>
          <w:rFonts w:hint="eastAsia" w:ascii="宋体" w:hAnsi="宋体" w:eastAsia="宋体" w:cs="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sz w:val="24"/>
        </w:rPr>
      </w:pPr>
      <w:r>
        <w:rPr>
          <w:rFonts w:ascii="宋体" w:hAnsi="宋体" w:eastAsia="宋体" w:cs="仿宋"/>
          <w:b w:val="0"/>
          <w:bCs w:val="0"/>
          <w:sz w:val="24"/>
          <w:szCs w:val="24"/>
        </w:rPr>
        <w:t>25.3</w:t>
      </w:r>
      <w:r>
        <w:rPr>
          <w:rFonts w:hint="eastAsia" w:ascii="宋体" w:hAnsi="宋体" w:eastAsia="宋体" w:cs="仿宋"/>
          <w:b w:val="0"/>
          <w:bCs w:val="0"/>
          <w:sz w:val="24"/>
          <w:szCs w:val="24"/>
        </w:rPr>
        <w:t>成交供应商的响应文件作为无效响应文件处理或者有法律法规规章制度规定的成交无效情形的，采购人在取得有权主体的认定以后，有权宣布发出的成交通知书无效，并收回发出的成交通知书，依法重新确定成交供应商或者重新开展采购活动。</w:t>
      </w:r>
    </w:p>
    <w:p>
      <w:pPr>
        <w:pStyle w:val="4"/>
        <w:spacing w:line="400" w:lineRule="exact"/>
        <w:jc w:val="center"/>
        <w:rPr>
          <w:rFonts w:ascii="宋体" w:hAnsi="宋体" w:eastAsia="宋体"/>
          <w:bCs w:val="0"/>
        </w:rPr>
      </w:pPr>
      <w:r>
        <w:rPr>
          <w:rFonts w:hint="eastAsia" w:ascii="宋体" w:hAnsi="宋体" w:eastAsia="宋体"/>
          <w:bCs w:val="0"/>
        </w:rPr>
        <w:t>七、合同事项</w:t>
      </w:r>
    </w:p>
    <w:p>
      <w:pPr>
        <w:pStyle w:val="4"/>
        <w:keepNext w:val="0"/>
        <w:keepLines w:val="0"/>
        <w:spacing w:before="0" w:after="0" w:line="360" w:lineRule="auto"/>
        <w:ind w:firstLine="472" w:firstLineChars="196"/>
        <w:rPr>
          <w:rFonts w:ascii="宋体" w:hAnsi="宋体" w:eastAsia="宋体"/>
          <w:sz w:val="24"/>
          <w:szCs w:val="24"/>
        </w:rPr>
      </w:pPr>
      <w:bookmarkStart w:id="20" w:name="_Toc209847069"/>
      <w:bookmarkStart w:id="21" w:name="_Toc101250646"/>
      <w:bookmarkStart w:id="22" w:name="_Toc101174151"/>
      <w:bookmarkStart w:id="23" w:name="_Toc430773927"/>
      <w:bookmarkStart w:id="24" w:name="_Toc101338364"/>
      <w:r>
        <w:rPr>
          <w:rFonts w:ascii="宋体" w:hAnsi="宋体" w:eastAsia="宋体" w:cs="仿宋"/>
          <w:sz w:val="24"/>
          <w:szCs w:val="24"/>
        </w:rPr>
        <w:t>26.</w:t>
      </w:r>
      <w:r>
        <w:rPr>
          <w:rFonts w:hint="eastAsia" w:ascii="宋体" w:hAnsi="宋体" w:eastAsia="宋体" w:cs="仿宋"/>
          <w:sz w:val="24"/>
          <w:szCs w:val="24"/>
        </w:rPr>
        <w:t>签订合同</w:t>
      </w:r>
      <w:bookmarkEnd w:id="20"/>
      <w:bookmarkEnd w:id="21"/>
      <w:bookmarkEnd w:id="22"/>
      <w:bookmarkEnd w:id="23"/>
      <w:bookmarkEnd w:id="24"/>
    </w:p>
    <w:p>
      <w:pPr>
        <w:spacing w:line="360" w:lineRule="auto"/>
        <w:ind w:firstLine="480" w:firstLineChars="200"/>
        <w:rPr>
          <w:rFonts w:ascii="宋体" w:hAnsi="宋体"/>
          <w:sz w:val="24"/>
        </w:rPr>
      </w:pPr>
      <w:r>
        <w:rPr>
          <w:rFonts w:ascii="宋体" w:hAnsi="宋体" w:cs="仿宋"/>
          <w:sz w:val="24"/>
        </w:rPr>
        <w:t xml:space="preserve">26.1 </w:t>
      </w:r>
      <w:r>
        <w:rPr>
          <w:rFonts w:hint="eastAsia" w:ascii="宋体" w:hAnsi="宋体" w:cs="仿宋"/>
          <w:sz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ascii="宋体" w:hAnsi="宋体" w:cs="仿宋"/>
          <w:sz w:val="24"/>
        </w:rPr>
        <w:t xml:space="preserve">26.2 </w:t>
      </w:r>
      <w:r>
        <w:rPr>
          <w:rFonts w:hint="eastAsia" w:ascii="宋体" w:hAnsi="宋体" w:cs="仿宋"/>
          <w:sz w:val="24"/>
        </w:rPr>
        <w:t>谈判文件、成交供应商的响应文件及双方确认的澄清文件等，均为有法律约束力的合同组成部分。</w:t>
      </w:r>
    </w:p>
    <w:p>
      <w:pPr>
        <w:spacing w:line="360" w:lineRule="auto"/>
        <w:ind w:firstLine="480" w:firstLineChars="200"/>
        <w:rPr>
          <w:rFonts w:ascii="宋体" w:hAnsi="宋体"/>
          <w:sz w:val="24"/>
        </w:rPr>
      </w:pPr>
      <w:r>
        <w:rPr>
          <w:rFonts w:ascii="宋体" w:hAnsi="宋体" w:cs="仿宋"/>
          <w:sz w:val="24"/>
        </w:rPr>
        <w:t xml:space="preserve">26.3 </w:t>
      </w:r>
      <w:r>
        <w:rPr>
          <w:rFonts w:hint="eastAsia" w:ascii="宋体" w:hAnsi="宋体" w:cs="仿宋"/>
          <w:sz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sz w:val="24"/>
        </w:rPr>
      </w:pPr>
      <w:r>
        <w:rPr>
          <w:rFonts w:ascii="宋体" w:hAnsi="宋体" w:cs="仿宋"/>
          <w:sz w:val="24"/>
        </w:rPr>
        <w:t xml:space="preserve">26.4 </w:t>
      </w:r>
      <w:r>
        <w:rPr>
          <w:rFonts w:hint="eastAsia" w:ascii="宋体" w:hAnsi="宋体" w:cs="仿宋"/>
          <w:sz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sz w:val="24"/>
        </w:rPr>
      </w:pPr>
      <w:r>
        <w:rPr>
          <w:rFonts w:ascii="宋体" w:hAnsi="宋体" w:cs="仿宋"/>
          <w:sz w:val="24"/>
        </w:rPr>
        <w:t>26.5</w:t>
      </w:r>
      <w:r>
        <w:rPr>
          <w:rFonts w:hint="eastAsia" w:ascii="宋体" w:hAnsi="宋体" w:cs="仿宋"/>
          <w:sz w:val="24"/>
        </w:rPr>
        <w:t>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b/>
          <w:bCs/>
          <w:sz w:val="24"/>
        </w:rPr>
      </w:pPr>
      <w:r>
        <w:rPr>
          <w:rFonts w:ascii="宋体" w:hAnsi="宋体" w:cs="仿宋"/>
          <w:b/>
          <w:bCs/>
          <w:sz w:val="24"/>
        </w:rPr>
        <w:t>27.</w:t>
      </w:r>
      <w:r>
        <w:rPr>
          <w:rFonts w:hint="eastAsia" w:ascii="宋体" w:hAnsi="宋体" w:cs="仿宋"/>
          <w:b/>
          <w:bCs/>
          <w:sz w:val="24"/>
        </w:rPr>
        <w:t>合同分包（实质性要求）</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分包履行合同的部分应当为采购项目的非主体、非关键性工作，不属于成交供应商的主要合同义务。</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27.2 采购合同实行分包履行的，成交供应商就采购项目和分包项目向采购人负责，分包供应商就分包项目承担责任。</w:t>
      </w:r>
    </w:p>
    <w:p>
      <w:pPr>
        <w:spacing w:line="360" w:lineRule="auto"/>
        <w:ind w:firstLine="482" w:firstLineChars="200"/>
        <w:rPr>
          <w:rFonts w:ascii="宋体" w:hAnsi="宋体"/>
          <w:b/>
          <w:bCs/>
          <w:sz w:val="24"/>
        </w:rPr>
      </w:pPr>
      <w:r>
        <w:rPr>
          <w:rFonts w:ascii="宋体" w:hAnsi="宋体" w:cs="仿宋"/>
          <w:b/>
          <w:bCs/>
          <w:sz w:val="24"/>
        </w:rPr>
        <w:t>28.</w:t>
      </w:r>
      <w:r>
        <w:rPr>
          <w:rFonts w:hint="eastAsia" w:ascii="宋体" w:hAnsi="宋体" w:cs="仿宋"/>
          <w:b/>
          <w:bCs/>
          <w:sz w:val="24"/>
        </w:rPr>
        <w:t>合同转包（实质性要求）</w:t>
      </w:r>
    </w:p>
    <w:p>
      <w:pPr>
        <w:spacing w:line="360" w:lineRule="auto"/>
        <w:ind w:firstLine="480" w:firstLineChars="200"/>
        <w:rPr>
          <w:rFonts w:ascii="宋体" w:hAnsi="宋体"/>
          <w:sz w:val="24"/>
        </w:rPr>
      </w:pPr>
      <w:r>
        <w:rPr>
          <w:rFonts w:hint="eastAsia" w:ascii="宋体" w:hAnsi="宋体" w:cs="仿宋"/>
          <w:sz w:val="24"/>
        </w:rPr>
        <w:t>本采购项目严禁成交供应商将任何采购合同义务转包。本项目所称转包，是指成交供应商将采购合同义务转让给第三人，并退出现有采购合同当事人双方的权利义务关系，受让人（即第三人）实质成为采购合同的另一方当事人的行为。</w:t>
      </w:r>
    </w:p>
    <w:p>
      <w:pPr>
        <w:spacing w:line="360" w:lineRule="auto"/>
        <w:ind w:firstLine="480" w:firstLineChars="200"/>
        <w:rPr>
          <w:rFonts w:ascii="宋体" w:hAnsi="宋体"/>
          <w:sz w:val="24"/>
        </w:rPr>
      </w:pPr>
      <w:r>
        <w:rPr>
          <w:rFonts w:hint="eastAsia" w:ascii="宋体" w:hAnsi="宋体" w:cs="仿宋"/>
          <w:sz w:val="24"/>
        </w:rPr>
        <w:t>成交供应商转包的，视同拒绝履行采购合同义务，将依法追究法律责任。</w:t>
      </w:r>
    </w:p>
    <w:p>
      <w:pPr>
        <w:spacing w:line="360" w:lineRule="auto"/>
        <w:ind w:firstLine="482" w:firstLineChars="200"/>
        <w:rPr>
          <w:rFonts w:ascii="宋体" w:hAnsi="宋体"/>
          <w:b/>
          <w:bCs/>
          <w:sz w:val="24"/>
        </w:rPr>
      </w:pPr>
      <w:r>
        <w:rPr>
          <w:rFonts w:ascii="宋体" w:hAnsi="宋体" w:cs="仿宋"/>
          <w:b/>
          <w:bCs/>
          <w:sz w:val="24"/>
        </w:rPr>
        <w:t>29.</w:t>
      </w:r>
      <w:r>
        <w:rPr>
          <w:rFonts w:hint="eastAsia" w:ascii="宋体" w:hAnsi="宋体" w:cs="仿宋"/>
          <w:b/>
          <w:bCs/>
          <w:sz w:val="24"/>
        </w:rPr>
        <w:t>补充合同</w:t>
      </w:r>
    </w:p>
    <w:p>
      <w:pPr>
        <w:spacing w:line="360" w:lineRule="auto"/>
        <w:ind w:firstLine="480" w:firstLineChars="200"/>
        <w:rPr>
          <w:rFonts w:ascii="宋体" w:hAnsi="宋体"/>
          <w:sz w:val="24"/>
        </w:rPr>
      </w:pPr>
      <w:r>
        <w:rPr>
          <w:rFonts w:hint="eastAsia" w:ascii="宋体" w:hAnsi="宋体" w:cs="仿宋"/>
          <w:sz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ind w:firstLine="482" w:firstLineChars="200"/>
        <w:rPr>
          <w:rFonts w:ascii="宋体" w:hAnsi="宋体"/>
          <w:b/>
          <w:bCs/>
          <w:sz w:val="24"/>
        </w:rPr>
      </w:pPr>
      <w:r>
        <w:rPr>
          <w:rFonts w:ascii="宋体" w:hAnsi="宋体" w:cs="仿宋"/>
          <w:b/>
          <w:bCs/>
          <w:sz w:val="24"/>
        </w:rPr>
        <w:t>30.</w:t>
      </w:r>
      <w:r>
        <w:rPr>
          <w:rFonts w:hint="eastAsia" w:ascii="宋体" w:hAnsi="宋体" w:cs="仿宋"/>
          <w:b/>
          <w:bCs/>
          <w:sz w:val="24"/>
        </w:rPr>
        <w:t>履约保证金（实质性要求）</w:t>
      </w:r>
    </w:p>
    <w:p>
      <w:pPr>
        <w:spacing w:line="360" w:lineRule="auto"/>
        <w:ind w:firstLine="480" w:firstLineChars="200"/>
        <w:rPr>
          <w:rFonts w:ascii="宋体" w:hAnsi="宋体"/>
          <w:sz w:val="24"/>
        </w:rPr>
      </w:pPr>
      <w:r>
        <w:rPr>
          <w:rFonts w:ascii="宋体" w:hAnsi="宋体" w:cs="仿宋"/>
          <w:sz w:val="24"/>
        </w:rPr>
        <w:t xml:space="preserve">30.1 </w:t>
      </w:r>
      <w:r>
        <w:rPr>
          <w:rFonts w:hint="eastAsia" w:ascii="宋体" w:hAnsi="宋体" w:cs="仿宋"/>
          <w:sz w:val="24"/>
        </w:rPr>
        <w:t>成交供应商应在合同签订之前交纳竞争性谈判文件规定数额的履约保证金。</w:t>
      </w:r>
    </w:p>
    <w:p>
      <w:pPr>
        <w:spacing w:line="360" w:lineRule="auto"/>
        <w:ind w:firstLine="480" w:firstLineChars="200"/>
        <w:rPr>
          <w:rFonts w:ascii="宋体" w:hAnsi="宋体"/>
          <w:sz w:val="24"/>
        </w:rPr>
      </w:pPr>
      <w:r>
        <w:rPr>
          <w:rFonts w:ascii="宋体" w:hAnsi="宋体" w:cs="仿宋"/>
          <w:sz w:val="24"/>
        </w:rPr>
        <w:t xml:space="preserve">30.2 </w:t>
      </w:r>
      <w:r>
        <w:rPr>
          <w:rFonts w:hint="eastAsia" w:ascii="宋体" w:hAnsi="宋体" w:cs="仿宋"/>
          <w:sz w:val="24"/>
        </w:rPr>
        <w:t>如果成交供应商在规定的合同签订时间内，没有按照采购文件的规定交纳履约保证金，且又无正当理由的，将视为放弃成交。</w:t>
      </w:r>
    </w:p>
    <w:p>
      <w:pPr>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1</w:t>
      </w:r>
      <w:r>
        <w:rPr>
          <w:rFonts w:ascii="宋体" w:hAnsi="宋体" w:cs="仿宋"/>
          <w:b/>
          <w:bCs/>
          <w:sz w:val="24"/>
        </w:rPr>
        <w:t>.</w:t>
      </w:r>
      <w:r>
        <w:rPr>
          <w:rFonts w:hint="eastAsia" w:ascii="宋体" w:hAnsi="宋体" w:cs="仿宋"/>
          <w:b/>
          <w:bCs/>
          <w:sz w:val="24"/>
        </w:rPr>
        <w:t>履行合同</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1</w:t>
      </w:r>
      <w:r>
        <w:rPr>
          <w:rFonts w:ascii="宋体" w:hAnsi="宋体" w:cs="仿宋"/>
          <w:sz w:val="24"/>
        </w:rPr>
        <w:t xml:space="preserve">.1 </w:t>
      </w:r>
      <w:r>
        <w:rPr>
          <w:rFonts w:hint="eastAsia" w:ascii="宋体" w:hAnsi="宋体" w:cs="仿宋"/>
          <w:sz w:val="24"/>
        </w:rPr>
        <w:t>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1</w:t>
      </w:r>
      <w:r>
        <w:rPr>
          <w:rFonts w:ascii="宋体" w:hAnsi="宋体" w:cs="仿宋"/>
          <w:sz w:val="24"/>
        </w:rPr>
        <w:t xml:space="preserve">.2 </w:t>
      </w:r>
      <w:r>
        <w:rPr>
          <w:rFonts w:hint="eastAsia" w:ascii="宋体" w:hAnsi="宋体" w:cs="仿宋"/>
          <w:sz w:val="24"/>
        </w:rPr>
        <w:t>在合同履行过程中，如发生合同纠纷，合同双方应按照合同约定及《中华人民共和国民法典》的有关规定进行处理。</w:t>
      </w:r>
    </w:p>
    <w:p>
      <w:pPr>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2</w:t>
      </w:r>
      <w:r>
        <w:rPr>
          <w:rFonts w:ascii="宋体" w:hAnsi="宋体" w:cs="仿宋"/>
          <w:b/>
          <w:bCs/>
          <w:sz w:val="24"/>
        </w:rPr>
        <w:t>.</w:t>
      </w:r>
      <w:r>
        <w:rPr>
          <w:rFonts w:hint="eastAsia" w:ascii="宋体" w:hAnsi="宋体" w:cs="仿宋"/>
          <w:b/>
          <w:bCs/>
          <w:sz w:val="24"/>
        </w:rPr>
        <w:t>验收</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2</w:t>
      </w:r>
      <w:r>
        <w:rPr>
          <w:rFonts w:ascii="宋体" w:hAnsi="宋体" w:cs="仿宋"/>
          <w:sz w:val="24"/>
        </w:rPr>
        <w:t>.1</w:t>
      </w:r>
      <w:r>
        <w:rPr>
          <w:rFonts w:hint="eastAsia" w:ascii="宋体" w:hAnsi="宋体" w:cs="仿宋"/>
          <w:sz w:val="24"/>
        </w:rPr>
        <w:t>本项目采购人将参照政府采购相关法律法规、《四川省政府采购项目需求论证和履约验收管理办法》（川财采〔</w:t>
      </w:r>
      <w:r>
        <w:rPr>
          <w:rFonts w:ascii="宋体" w:hAnsi="宋体" w:cs="仿宋"/>
          <w:sz w:val="24"/>
        </w:rPr>
        <w:t>2015</w:t>
      </w:r>
      <w:r>
        <w:rPr>
          <w:rFonts w:hint="eastAsia" w:ascii="宋体" w:hAnsi="宋体" w:cs="仿宋"/>
          <w:sz w:val="24"/>
        </w:rPr>
        <w:t>〕</w:t>
      </w:r>
      <w:r>
        <w:rPr>
          <w:rFonts w:ascii="宋体" w:hAnsi="宋体" w:cs="仿宋"/>
          <w:sz w:val="24"/>
        </w:rPr>
        <w:t>32</w:t>
      </w:r>
      <w:r>
        <w:rPr>
          <w:rFonts w:hint="eastAsia" w:ascii="宋体" w:hAnsi="宋体" w:cs="仿宋"/>
          <w:sz w:val="24"/>
        </w:rPr>
        <w:t>号）的要求及国家行业主管部门规定的标准、方法和内容进行验收。</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2</w:t>
      </w:r>
      <w:r>
        <w:rPr>
          <w:rFonts w:ascii="宋体" w:hAnsi="宋体" w:cs="仿宋"/>
          <w:sz w:val="24"/>
        </w:rPr>
        <w:t xml:space="preserve">.2 </w:t>
      </w:r>
      <w:r>
        <w:rPr>
          <w:rFonts w:hint="eastAsia" w:ascii="宋体" w:hAnsi="宋体" w:cs="仿宋"/>
          <w:sz w:val="24"/>
        </w:rPr>
        <w:t>验收结果合格的，成交供应商凭验收报告办理相关手续；验收结果不合格的，履约保证金将不予退还，也将不予支付采购资金，还可能会予行政处罚或者以失信行为记入诚信档案。</w:t>
      </w:r>
    </w:p>
    <w:p>
      <w:pPr>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3</w:t>
      </w:r>
      <w:r>
        <w:rPr>
          <w:rFonts w:ascii="宋体" w:hAnsi="宋体" w:cs="仿宋"/>
          <w:b/>
          <w:bCs/>
          <w:sz w:val="24"/>
        </w:rPr>
        <w:t>.</w:t>
      </w:r>
      <w:r>
        <w:rPr>
          <w:rFonts w:hint="eastAsia" w:ascii="宋体" w:hAnsi="宋体" w:cs="仿宋"/>
          <w:b/>
          <w:bCs/>
          <w:sz w:val="24"/>
        </w:rPr>
        <w:t>资金支付</w:t>
      </w:r>
    </w:p>
    <w:p>
      <w:pPr>
        <w:spacing w:line="360" w:lineRule="auto"/>
        <w:ind w:firstLine="480" w:firstLineChars="200"/>
        <w:rPr>
          <w:rFonts w:ascii="宋体" w:hAnsi="宋体"/>
          <w:sz w:val="24"/>
        </w:rPr>
      </w:pPr>
      <w:r>
        <w:rPr>
          <w:rFonts w:hint="eastAsia" w:ascii="宋体" w:hAnsi="宋体" w:cs="仿宋"/>
          <w:sz w:val="24"/>
        </w:rPr>
        <w:t>采购人将按照采购合同规定，及时向成交供应商支付采购资金。</w:t>
      </w:r>
    </w:p>
    <w:p>
      <w:pPr>
        <w:pStyle w:val="4"/>
        <w:spacing w:line="400" w:lineRule="exact"/>
        <w:jc w:val="center"/>
        <w:rPr>
          <w:rFonts w:ascii="宋体" w:hAnsi="宋体" w:eastAsia="宋体"/>
          <w:bCs w:val="0"/>
        </w:rPr>
      </w:pPr>
      <w:r>
        <w:rPr>
          <w:rFonts w:hint="eastAsia" w:ascii="宋体" w:hAnsi="宋体" w:eastAsia="宋体"/>
          <w:bCs w:val="0"/>
        </w:rPr>
        <w:t>八、谈判纪律要求</w:t>
      </w:r>
    </w:p>
    <w:p>
      <w:pPr>
        <w:tabs>
          <w:tab w:val="left" w:pos="851"/>
        </w:tabs>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4</w:t>
      </w:r>
      <w:r>
        <w:rPr>
          <w:rFonts w:ascii="宋体" w:hAnsi="宋体" w:cs="仿宋"/>
          <w:b/>
          <w:bCs/>
          <w:sz w:val="24"/>
        </w:rPr>
        <w:t>.</w:t>
      </w:r>
      <w:r>
        <w:rPr>
          <w:rFonts w:hint="eastAsia" w:ascii="宋体" w:hAnsi="宋体" w:cs="仿宋"/>
          <w:b/>
          <w:bCs/>
          <w:sz w:val="24"/>
        </w:rPr>
        <w:t>供应商不得具有的情形</w:t>
      </w:r>
    </w:p>
    <w:p>
      <w:pPr>
        <w:tabs>
          <w:tab w:val="left" w:pos="851"/>
        </w:tabs>
        <w:spacing w:line="360" w:lineRule="auto"/>
        <w:ind w:firstLine="480" w:firstLineChars="200"/>
        <w:rPr>
          <w:rFonts w:ascii="宋体" w:hAnsi="宋体"/>
          <w:sz w:val="24"/>
        </w:rPr>
      </w:pPr>
      <w:r>
        <w:rPr>
          <w:rFonts w:hint="eastAsia" w:ascii="宋体" w:hAnsi="宋体" w:cs="仿宋"/>
          <w:sz w:val="24"/>
        </w:rPr>
        <w:t>供应商参加本项目谈判不得有下列情形：</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w:t>
      </w:r>
      <w:r>
        <w:rPr>
          <w:rFonts w:hint="eastAsia" w:ascii="宋体" w:hAnsi="宋体" w:cs="仿宋"/>
          <w:sz w:val="24"/>
        </w:rPr>
        <w:t>）提供虚假材料谋取成交；</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2</w:t>
      </w:r>
      <w:r>
        <w:rPr>
          <w:rFonts w:hint="eastAsia" w:ascii="宋体" w:hAnsi="宋体" w:cs="仿宋"/>
          <w:sz w:val="24"/>
        </w:rPr>
        <w:t>）采取不正当手段诋毁、排挤其他供应商；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3</w:t>
      </w:r>
      <w:r>
        <w:rPr>
          <w:rFonts w:hint="eastAsia" w:ascii="宋体" w:hAnsi="宋体" w:cs="仿宋"/>
          <w:sz w:val="24"/>
        </w:rPr>
        <w:t>）与采购人、采购代理机构、或其他供应商恶意串通；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4</w:t>
      </w:r>
      <w:r>
        <w:rPr>
          <w:rFonts w:hint="eastAsia" w:ascii="宋体" w:hAnsi="宋体" w:cs="仿宋"/>
          <w:sz w:val="24"/>
        </w:rPr>
        <w:t>）向采购人、采购代理机构、谈判小组成员行贿或者提供其他不正当利益；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5</w:t>
      </w:r>
      <w:r>
        <w:rPr>
          <w:rFonts w:hint="eastAsia" w:ascii="宋体" w:hAnsi="宋体" w:cs="仿宋"/>
          <w:sz w:val="24"/>
        </w:rPr>
        <w:t>）在谈判过程中与采购人、采购代理机构进行协商；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6</w:t>
      </w:r>
      <w:r>
        <w:rPr>
          <w:rFonts w:hint="eastAsia" w:ascii="宋体" w:hAnsi="宋体" w:cs="仿宋"/>
          <w:sz w:val="24"/>
        </w:rPr>
        <w:t>）成交后无正当理由拒不与采购人签订采购合同；</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7</w:t>
      </w:r>
      <w:r>
        <w:rPr>
          <w:rFonts w:hint="eastAsia" w:ascii="宋体" w:hAnsi="宋体" w:cs="仿宋"/>
          <w:sz w:val="24"/>
        </w:rPr>
        <w:t>）未按照谈判文件确定的事项签订采购合同；</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8</w:t>
      </w:r>
      <w:r>
        <w:rPr>
          <w:rFonts w:hint="eastAsia" w:ascii="宋体" w:hAnsi="宋体" w:cs="仿宋"/>
          <w:sz w:val="24"/>
        </w:rPr>
        <w:t>）将采购合同转包或者违规分包；</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9</w:t>
      </w:r>
      <w:r>
        <w:rPr>
          <w:rFonts w:hint="eastAsia" w:ascii="宋体" w:hAnsi="宋体" w:cs="仿宋"/>
          <w:sz w:val="24"/>
        </w:rPr>
        <w:t>）提供假冒伪劣产品；</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10</w:t>
      </w:r>
      <w:r>
        <w:rPr>
          <w:rFonts w:hint="eastAsia" w:ascii="宋体" w:hAnsi="宋体" w:cs="仿宋"/>
          <w:sz w:val="24"/>
        </w:rPr>
        <w:t>）擅自变更、中止或者终止采购合同；</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11</w:t>
      </w:r>
      <w:r>
        <w:rPr>
          <w:rFonts w:hint="eastAsia" w:ascii="宋体" w:hAnsi="宋体" w:cs="仿宋"/>
          <w:sz w:val="24"/>
        </w:rPr>
        <w:t>）拒绝有关部门的监督检查或者向监督检查部门提供虚假情况；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12</w:t>
      </w:r>
      <w:r>
        <w:rPr>
          <w:rFonts w:hint="eastAsia" w:ascii="宋体" w:hAnsi="宋体" w:cs="仿宋"/>
          <w:sz w:val="24"/>
        </w:rPr>
        <w:t>）法律法规规定的其他情形。</w:t>
      </w:r>
    </w:p>
    <w:p>
      <w:pPr>
        <w:tabs>
          <w:tab w:val="left" w:pos="851"/>
        </w:tabs>
        <w:spacing w:line="360" w:lineRule="auto"/>
        <w:ind w:firstLine="480" w:firstLineChars="200"/>
        <w:rPr>
          <w:rFonts w:ascii="宋体" w:hAnsi="宋体"/>
          <w:sz w:val="24"/>
        </w:rPr>
      </w:pPr>
      <w:r>
        <w:rPr>
          <w:rFonts w:hint="eastAsia" w:ascii="宋体" w:hAnsi="宋体" w:cs="仿宋"/>
          <w:sz w:val="24"/>
        </w:rPr>
        <w:t>供应商有上述情形的，按照规定追究法律责任，具备（</w:t>
      </w:r>
      <w:r>
        <w:rPr>
          <w:rFonts w:ascii="宋体" w:hAnsi="宋体" w:cs="仿宋"/>
          <w:sz w:val="24"/>
        </w:rPr>
        <w:t>1</w:t>
      </w:r>
      <w:r>
        <w:rPr>
          <w:rFonts w:hint="eastAsia" w:ascii="宋体" w:hAnsi="宋体" w:cs="仿宋"/>
          <w:sz w:val="24"/>
        </w:rPr>
        <w:t>）</w:t>
      </w:r>
      <w:r>
        <w:rPr>
          <w:rFonts w:ascii="宋体" w:hAnsi="宋体" w:cs="仿宋"/>
          <w:sz w:val="24"/>
        </w:rPr>
        <w:t>-</w:t>
      </w:r>
      <w:r>
        <w:rPr>
          <w:rFonts w:hint="eastAsia" w:ascii="宋体" w:hAnsi="宋体" w:cs="仿宋"/>
          <w:sz w:val="24"/>
        </w:rPr>
        <w:t>（10）条情形之一的，同时将取消成交资格或者认定成交无效。</w:t>
      </w:r>
    </w:p>
    <w:p>
      <w:pPr>
        <w:pStyle w:val="4"/>
        <w:spacing w:line="400" w:lineRule="exact"/>
        <w:jc w:val="center"/>
        <w:rPr>
          <w:rFonts w:ascii="宋体" w:hAnsi="宋体" w:eastAsia="宋体"/>
          <w:bCs w:val="0"/>
        </w:rPr>
      </w:pPr>
      <w:r>
        <w:rPr>
          <w:rFonts w:hint="eastAsia" w:ascii="宋体" w:hAnsi="宋体" w:eastAsia="宋体"/>
          <w:bCs w:val="0"/>
        </w:rPr>
        <w:t>九、其他</w:t>
      </w:r>
    </w:p>
    <w:p>
      <w:pPr>
        <w:tabs>
          <w:tab w:val="left" w:pos="851"/>
        </w:tabs>
        <w:spacing w:line="360" w:lineRule="auto"/>
        <w:jc w:val="center"/>
        <w:rPr>
          <w:rFonts w:ascii="宋体" w:hAnsi="宋体"/>
          <w:sz w:val="24"/>
        </w:rPr>
      </w:pPr>
    </w:p>
    <w:p>
      <w:pPr>
        <w:tabs>
          <w:tab w:val="left" w:pos="851"/>
        </w:tabs>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5</w:t>
      </w:r>
      <w:r>
        <w:rPr>
          <w:rFonts w:ascii="宋体" w:hAnsi="宋体" w:cs="仿宋"/>
          <w:sz w:val="24"/>
        </w:rPr>
        <w:t>.</w:t>
      </w:r>
      <w:r>
        <w:rPr>
          <w:rFonts w:hint="eastAsia" w:ascii="宋体" w:hAnsi="宋体" w:cs="仿宋"/>
          <w:sz w:val="24"/>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b/>
          <w:sz w:val="24"/>
        </w:rPr>
      </w:pPr>
      <w:r>
        <w:rPr>
          <w:rFonts w:hint="eastAsia" w:ascii="宋体" w:hAnsi="宋体" w:cs="仿宋"/>
          <w:sz w:val="24"/>
        </w:rPr>
        <w:t>36</w:t>
      </w:r>
      <w:r>
        <w:rPr>
          <w:rFonts w:ascii="宋体" w:hAnsi="宋体" w:cs="仿宋"/>
          <w:sz w:val="24"/>
        </w:rPr>
        <w:t>.</w:t>
      </w:r>
      <w:r>
        <w:rPr>
          <w:rFonts w:hint="eastAsia" w:ascii="宋体" w:hAnsi="宋体" w:cs="仿宋"/>
          <w:b/>
          <w:bCs/>
          <w:sz w:val="24"/>
        </w:rPr>
        <w:t>（实质性要求）</w:t>
      </w:r>
      <w:r>
        <w:rPr>
          <w:rFonts w:hint="eastAsia" w:ascii="宋体" w:hAnsi="宋体" w:cs="仿宋"/>
          <w:sz w:val="24"/>
        </w:rPr>
        <w:t>国家或行业主管部门对工程项目的技术标准、质量标准和资格资质条件等有强制性规定的，必须符合其要求。</w:t>
      </w:r>
      <w:bookmarkStart w:id="25" w:name="_Toc217446083"/>
    </w:p>
    <w:p>
      <w:pPr>
        <w:pStyle w:val="3"/>
        <w:jc w:val="center"/>
        <w:rPr>
          <w:rFonts w:ascii="宋体" w:hAnsi="宋体"/>
          <w:sz w:val="36"/>
          <w:szCs w:val="36"/>
        </w:rPr>
        <w:sectPr>
          <w:footerReference r:id="rId9" w:type="default"/>
          <w:pgSz w:w="11907" w:h="16840"/>
          <w:pgMar w:top="1440" w:right="1474" w:bottom="1440" w:left="1474" w:header="851" w:footer="992" w:gutter="0"/>
          <w:cols w:space="720" w:num="1"/>
          <w:docGrid w:linePitch="312" w:charSpace="0"/>
        </w:sectPr>
      </w:pPr>
      <w:bookmarkStart w:id="26" w:name="_Toc1368"/>
    </w:p>
    <w:p>
      <w:pPr>
        <w:pStyle w:val="3"/>
        <w:spacing w:line="240" w:lineRule="auto"/>
        <w:jc w:val="center"/>
        <w:rPr>
          <w:rFonts w:ascii="宋体" w:hAnsi="宋体"/>
          <w:sz w:val="36"/>
          <w:szCs w:val="36"/>
        </w:rPr>
      </w:pPr>
      <w:bookmarkStart w:id="27" w:name="_Toc23874"/>
      <w:r>
        <w:rPr>
          <w:rFonts w:hint="eastAsia" w:ascii="宋体" w:hAnsi="宋体"/>
          <w:sz w:val="36"/>
          <w:szCs w:val="36"/>
        </w:rPr>
        <w:t xml:space="preserve">第三章  </w:t>
      </w:r>
      <w:bookmarkEnd w:id="26"/>
      <w:bookmarkStart w:id="28" w:name="_Toc308164821"/>
      <w:bookmarkStart w:id="29" w:name="_Toc217446082"/>
      <w:r>
        <w:rPr>
          <w:rFonts w:hint="eastAsia" w:ascii="宋体" w:hAnsi="宋体"/>
          <w:sz w:val="36"/>
          <w:szCs w:val="36"/>
        </w:rPr>
        <w:t>供应商资格条件要求</w:t>
      </w:r>
      <w:bookmarkEnd w:id="27"/>
    </w:p>
    <w:p>
      <w:pPr>
        <w:pStyle w:val="62"/>
        <w:spacing w:line="420" w:lineRule="exact"/>
        <w:ind w:firstLine="0" w:firstLineChars="0"/>
        <w:rPr>
          <w:rFonts w:ascii="宋体" w:hAnsi="宋体"/>
          <w:b/>
          <w:bCs/>
          <w:sz w:val="24"/>
        </w:rPr>
      </w:pPr>
      <w:r>
        <w:rPr>
          <w:rFonts w:ascii="宋体" w:hAnsi="宋体"/>
          <w:b/>
          <w:bCs/>
          <w:sz w:val="24"/>
        </w:rPr>
        <w:t>（一）</w:t>
      </w:r>
      <w:r>
        <w:rPr>
          <w:rFonts w:hint="eastAsia" w:ascii="宋体" w:hAnsi="宋体"/>
          <w:b/>
          <w:bCs/>
          <w:sz w:val="24"/>
        </w:rPr>
        <w:t>资格要求：</w:t>
      </w:r>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(4)具有依法缴纳税收和社会保障资金的良好记录；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2.本项目的特定资格要求：</w:t>
      </w:r>
      <w:r>
        <w:rPr>
          <w:rFonts w:hint="eastAsia" w:ascii="宋体" w:hAnsi="宋体" w:eastAsia="宋体" w:cs="Times New Roman"/>
          <w:sz w:val="24"/>
          <w:lang w:val="en-US" w:eastAsia="zh-CN"/>
        </w:rPr>
        <w:t>具有水行政主管部门颁发的</w:t>
      </w:r>
      <w:r>
        <w:rPr>
          <w:rFonts w:hint="eastAsia" w:ascii="宋体" w:hAnsi="宋体" w:eastAsia="宋体" w:cs="Times New Roman"/>
          <w:sz w:val="24"/>
          <w:u w:val="single"/>
          <w:lang w:val="en-US" w:eastAsia="zh-CN"/>
        </w:rPr>
        <w:t>水利工程施工监理丙级及以上资质</w:t>
      </w:r>
      <w:r>
        <w:rPr>
          <w:rFonts w:hint="eastAsia" w:ascii="宋体" w:hAnsi="宋体" w:eastAsia="宋体" w:cs="Times New Roman"/>
          <w:sz w:val="24"/>
          <w:lang w:val="en-US" w:eastAsia="zh-CN"/>
        </w:rPr>
        <w:t>。</w:t>
      </w:r>
    </w:p>
    <w:p>
      <w:pPr>
        <w:pStyle w:val="62"/>
        <w:spacing w:line="420" w:lineRule="exact"/>
        <w:ind w:firstLine="0" w:firstLineChars="0"/>
        <w:rPr>
          <w:rFonts w:ascii="宋体" w:hAnsi="宋体"/>
          <w:b/>
          <w:bCs/>
          <w:sz w:val="24"/>
        </w:rPr>
      </w:pPr>
      <w:r>
        <w:rPr>
          <w:rFonts w:hint="eastAsia" w:ascii="宋体" w:hAnsi="宋体"/>
          <w:b/>
          <w:bCs/>
          <w:sz w:val="24"/>
        </w:rPr>
        <w:t>（二）其他类似效力要求：</w:t>
      </w:r>
    </w:p>
    <w:p>
      <w:pPr>
        <w:spacing w:line="400" w:lineRule="exact"/>
        <w:ind w:firstLine="480" w:firstLineChars="200"/>
        <w:rPr>
          <w:rFonts w:ascii="宋体" w:hAnsi="宋体"/>
          <w:sz w:val="24"/>
        </w:rPr>
      </w:pPr>
      <w:r>
        <w:rPr>
          <w:rFonts w:hint="eastAsia" w:ascii="宋体" w:hAnsi="宋体"/>
          <w:sz w:val="24"/>
        </w:rPr>
        <w:t>1.供应商单位及其法定代表人/主要负责人在参加本项目采购活动前三年无行贿犯罪记录。</w:t>
      </w:r>
    </w:p>
    <w:p>
      <w:pPr>
        <w:spacing w:line="400" w:lineRule="exact"/>
        <w:ind w:firstLine="480" w:firstLineChars="200"/>
        <w:rPr>
          <w:rFonts w:ascii="宋体" w:hAnsi="宋体"/>
          <w:sz w:val="24"/>
        </w:rPr>
      </w:pPr>
      <w:r>
        <w:rPr>
          <w:rFonts w:hint="eastAsia" w:ascii="宋体" w:hAnsi="宋体"/>
          <w:sz w:val="24"/>
        </w:rPr>
        <w:t>2.法定代表人/单位负责人身份证明文件或授权参加本次采购活动的授权代表证明材料。</w:t>
      </w:r>
    </w:p>
    <w:p>
      <w:pPr>
        <w:widowControl/>
        <w:jc w:val="left"/>
        <w:rPr>
          <w:rFonts w:ascii="宋体" w:hAnsi="宋体"/>
          <w:b/>
          <w:sz w:val="32"/>
        </w:rPr>
      </w:pPr>
    </w:p>
    <w:p>
      <w:pPr>
        <w:pStyle w:val="62"/>
        <w:spacing w:line="240" w:lineRule="auto"/>
        <w:ind w:firstLine="0" w:firstLineChars="0"/>
        <w:rPr>
          <w:rFonts w:ascii="宋体" w:hAnsi="宋体"/>
          <w:b/>
          <w:szCs w:val="21"/>
        </w:rPr>
      </w:pPr>
      <w:r>
        <w:rPr>
          <w:rFonts w:hint="eastAsia" w:ascii="宋体" w:hAnsi="宋体"/>
          <w:b/>
          <w:szCs w:val="21"/>
        </w:rPr>
        <w:t>注：</w:t>
      </w:r>
    </w:p>
    <w:p>
      <w:pPr>
        <w:pStyle w:val="62"/>
        <w:spacing w:line="240" w:lineRule="auto"/>
        <w:ind w:firstLine="422"/>
        <w:rPr>
          <w:rFonts w:ascii="宋体" w:hAnsi="宋体"/>
          <w:b/>
          <w:szCs w:val="21"/>
        </w:rPr>
      </w:pPr>
      <w:r>
        <w:rPr>
          <w:rFonts w:hint="eastAsia" w:ascii="宋体" w:hAnsi="宋体"/>
          <w:b/>
          <w:szCs w:val="21"/>
        </w:rPr>
        <w:t>1.本项目确定供应商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widowControl/>
        <w:jc w:val="left"/>
        <w:rPr>
          <w:rFonts w:ascii="宋体" w:hAnsi="宋体"/>
          <w:b/>
          <w:szCs w:val="21"/>
        </w:rPr>
      </w:pPr>
      <w:r>
        <w:rPr>
          <w:rFonts w:hint="eastAsia" w:ascii="宋体" w:hAnsi="宋体"/>
          <w:b/>
          <w:szCs w:val="21"/>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r>
        <w:rPr>
          <w:rFonts w:ascii="宋体" w:hAnsi="宋体"/>
          <w:b/>
          <w:szCs w:val="21"/>
        </w:rPr>
        <w:br w:type="page"/>
      </w:r>
    </w:p>
    <w:p>
      <w:pPr>
        <w:pStyle w:val="3"/>
        <w:spacing w:line="240" w:lineRule="auto"/>
        <w:jc w:val="center"/>
        <w:rPr>
          <w:rFonts w:ascii="宋体" w:hAnsi="宋体"/>
          <w:sz w:val="36"/>
          <w:szCs w:val="36"/>
        </w:rPr>
      </w:pPr>
      <w:bookmarkStart w:id="30" w:name="_Toc5352"/>
      <w:r>
        <w:rPr>
          <w:rFonts w:hint="eastAsia" w:ascii="宋体" w:hAnsi="宋体"/>
          <w:sz w:val="36"/>
          <w:szCs w:val="36"/>
        </w:rPr>
        <w:t>第四章  供应商资格证明材料</w:t>
      </w:r>
      <w:bookmarkEnd w:id="30"/>
    </w:p>
    <w:p>
      <w:pPr>
        <w:pStyle w:val="4"/>
        <w:spacing w:line="360" w:lineRule="exact"/>
        <w:rPr>
          <w:rFonts w:ascii="宋体" w:hAnsi="宋体" w:eastAsia="宋体"/>
          <w:sz w:val="24"/>
          <w:szCs w:val="24"/>
        </w:rPr>
      </w:pPr>
      <w:r>
        <w:rPr>
          <w:rFonts w:hint="eastAsia" w:ascii="宋体" w:hAnsi="宋体" w:eastAsia="宋体"/>
          <w:sz w:val="24"/>
          <w:szCs w:val="24"/>
        </w:rPr>
        <w:t>一、供应商应提交的资格证明材料</w:t>
      </w:r>
    </w:p>
    <w:p>
      <w:pPr>
        <w:rPr>
          <w:rFonts w:ascii="宋体" w:hAnsi="宋体"/>
          <w:b/>
          <w:bCs/>
          <w:sz w:val="24"/>
        </w:rPr>
      </w:pPr>
      <w:r>
        <w:rPr>
          <w:rFonts w:hint="eastAsia" w:ascii="宋体" w:hAnsi="宋体"/>
          <w:b/>
          <w:bCs/>
          <w:sz w:val="24"/>
        </w:rPr>
        <w:t>（一）资格要求相关证明材料：</w:t>
      </w:r>
    </w:p>
    <w:p>
      <w:pPr>
        <w:pStyle w:val="62"/>
        <w:spacing w:line="420" w:lineRule="exact"/>
        <w:ind w:firstLine="480"/>
        <w:rPr>
          <w:rFonts w:ascii="宋体" w:hAnsi="宋体"/>
          <w:sz w:val="24"/>
        </w:rPr>
      </w:pPr>
      <w:r>
        <w:rPr>
          <w:rFonts w:hint="eastAsia" w:ascii="宋体" w:hAnsi="宋体"/>
          <w:sz w:val="24"/>
        </w:rPr>
        <w:t>1.具有独立承担民事责任的能力。</w:t>
      </w:r>
    </w:p>
    <w:p>
      <w:pPr>
        <w:spacing w:line="312" w:lineRule="auto"/>
        <w:ind w:firstLine="540" w:firstLineChars="225"/>
        <w:rPr>
          <w:rFonts w:ascii="宋体" w:hAnsi="宋体"/>
          <w:sz w:val="24"/>
        </w:rPr>
      </w:pPr>
      <w:r>
        <w:rPr>
          <w:rFonts w:hint="eastAsia" w:ascii="宋体" w:hAnsi="宋体"/>
          <w:sz w:val="24"/>
        </w:rPr>
        <w:t>（1）若为企业法人：提供“统一社会信用代码营业执照”；未换证的提供“营业执照、税务登记证、组织机构代码证”；</w:t>
      </w:r>
    </w:p>
    <w:p>
      <w:pPr>
        <w:spacing w:line="312" w:lineRule="auto"/>
        <w:ind w:firstLine="540" w:firstLineChars="225"/>
        <w:rPr>
          <w:rFonts w:ascii="宋体" w:hAnsi="宋体"/>
          <w:sz w:val="24"/>
        </w:rPr>
      </w:pPr>
      <w:r>
        <w:rPr>
          <w:rFonts w:hint="eastAsia" w:ascii="宋体" w:hAnsi="宋体"/>
          <w:sz w:val="24"/>
        </w:rPr>
        <w:t>（2）若为事业法人：提供“统一社会信用代码法人登记证书”；未换证的提交“事业法人登记证书、组织机构代码证”；</w:t>
      </w:r>
    </w:p>
    <w:p>
      <w:pPr>
        <w:spacing w:line="312" w:lineRule="auto"/>
        <w:ind w:firstLine="540" w:firstLineChars="225"/>
        <w:rPr>
          <w:rFonts w:ascii="宋体" w:hAnsi="宋体"/>
          <w:sz w:val="24"/>
        </w:rPr>
      </w:pPr>
      <w:r>
        <w:rPr>
          <w:rFonts w:hint="eastAsia" w:ascii="宋体" w:hAnsi="宋体"/>
          <w:sz w:val="24"/>
        </w:rPr>
        <w:t>（3）若为其他组织：提供“对应主管部门颁发的准许执业证明文件或营业执照”；</w:t>
      </w:r>
    </w:p>
    <w:p>
      <w:pPr>
        <w:spacing w:line="312" w:lineRule="auto"/>
        <w:ind w:firstLine="540" w:firstLineChars="225"/>
        <w:rPr>
          <w:rFonts w:ascii="宋体" w:hAnsi="宋体"/>
          <w:sz w:val="24"/>
        </w:rPr>
      </w:pPr>
      <w:r>
        <w:rPr>
          <w:rFonts w:hint="eastAsia" w:ascii="宋体" w:hAnsi="宋体"/>
          <w:sz w:val="24"/>
        </w:rPr>
        <w:t>（4）若为自然人：提供“身份证明材料”；</w:t>
      </w:r>
    </w:p>
    <w:p>
      <w:pPr>
        <w:pStyle w:val="62"/>
        <w:spacing w:line="420" w:lineRule="exact"/>
        <w:ind w:firstLine="480"/>
        <w:rPr>
          <w:rFonts w:ascii="宋体" w:hAnsi="宋体"/>
          <w:sz w:val="24"/>
        </w:rPr>
      </w:pPr>
      <w:r>
        <w:rPr>
          <w:rFonts w:hint="eastAsia" w:ascii="宋体" w:hAnsi="宋体"/>
          <w:sz w:val="24"/>
        </w:rPr>
        <w:t>注：供应商根据自身情况选择提供以上（1）-（4）项其中之一复印件。</w:t>
      </w:r>
    </w:p>
    <w:p>
      <w:pPr>
        <w:pStyle w:val="62"/>
        <w:spacing w:line="420" w:lineRule="exact"/>
        <w:ind w:firstLine="480"/>
        <w:rPr>
          <w:rFonts w:ascii="宋体" w:hAnsi="宋体"/>
          <w:sz w:val="24"/>
        </w:rPr>
      </w:pPr>
      <w:r>
        <w:rPr>
          <w:rFonts w:hint="eastAsia" w:ascii="宋体" w:hAnsi="宋体"/>
          <w:sz w:val="24"/>
        </w:rPr>
        <w:t>2. 具有良好的商业信誉和健全的财务会计制度。</w:t>
      </w:r>
    </w:p>
    <w:p>
      <w:pPr>
        <w:pStyle w:val="62"/>
        <w:spacing w:line="420" w:lineRule="exact"/>
        <w:ind w:firstLine="480"/>
        <w:rPr>
          <w:rFonts w:ascii="宋体" w:hAnsi="宋体"/>
          <w:sz w:val="24"/>
        </w:rPr>
      </w:pPr>
      <w:r>
        <w:rPr>
          <w:rFonts w:hint="eastAsia" w:ascii="宋体" w:hAnsi="宋体"/>
          <w:sz w:val="24"/>
        </w:rPr>
        <w:t>（1）提供具有良好的商业信誉的承诺函原件。</w:t>
      </w:r>
    </w:p>
    <w:p>
      <w:pPr>
        <w:pStyle w:val="62"/>
        <w:spacing w:line="420" w:lineRule="exact"/>
        <w:ind w:firstLine="480"/>
        <w:rPr>
          <w:rFonts w:ascii="宋体" w:hAnsi="宋体"/>
          <w:sz w:val="24"/>
        </w:rPr>
      </w:pPr>
      <w:r>
        <w:rPr>
          <w:rFonts w:hint="eastAsia" w:ascii="宋体" w:hAnsi="宋体"/>
          <w:sz w:val="24"/>
        </w:rPr>
        <w:t>（2）具备健全的财务会计制度的证明材料。</w:t>
      </w:r>
    </w:p>
    <w:p>
      <w:pPr>
        <w:pStyle w:val="62"/>
        <w:spacing w:line="420" w:lineRule="exact"/>
        <w:ind w:firstLine="480"/>
        <w:rPr>
          <w:rFonts w:ascii="宋体" w:hAnsi="宋体"/>
          <w:sz w:val="24"/>
        </w:rPr>
      </w:pPr>
      <w:r>
        <w:rPr>
          <w:rFonts w:hint="eastAsia" w:ascii="宋体" w:hAnsi="宋体"/>
          <w:sz w:val="24"/>
        </w:rPr>
        <w:t>①提供</w:t>
      </w:r>
      <w:r>
        <w:rPr>
          <w:rFonts w:hint="eastAsia" w:ascii="宋体" w:hAnsi="宋体"/>
          <w:sz w:val="24"/>
          <w:highlight w:val="none"/>
        </w:rPr>
        <w:t>20</w:t>
      </w:r>
      <w:r>
        <w:rPr>
          <w:rFonts w:hint="eastAsia" w:ascii="宋体" w:hAnsi="宋体"/>
          <w:sz w:val="24"/>
          <w:highlight w:val="none"/>
          <w:lang w:val="en-US" w:eastAsia="zh-CN"/>
        </w:rPr>
        <w:t>21</w:t>
      </w:r>
      <w:r>
        <w:rPr>
          <w:rFonts w:hint="eastAsia" w:ascii="宋体" w:hAnsi="宋体"/>
          <w:sz w:val="24"/>
          <w:highlight w:val="none"/>
        </w:rPr>
        <w:t>年度</w:t>
      </w:r>
      <w:r>
        <w:rPr>
          <w:rFonts w:hint="eastAsia" w:ascii="宋体" w:hAnsi="宋体"/>
          <w:sz w:val="24"/>
          <w:highlight w:val="none"/>
          <w:lang w:val="en-US" w:eastAsia="zh-CN"/>
        </w:rPr>
        <w:t>或2022年度</w:t>
      </w:r>
      <w:r>
        <w:rPr>
          <w:rFonts w:hint="eastAsia" w:ascii="宋体" w:hAnsi="宋体"/>
          <w:sz w:val="24"/>
        </w:rPr>
        <w:t>经审计的财务报告复印件（包含审计报告和审计报告中所涉及的财务报表和报表附注）；</w:t>
      </w:r>
    </w:p>
    <w:p>
      <w:pPr>
        <w:pStyle w:val="62"/>
        <w:spacing w:line="420" w:lineRule="exact"/>
        <w:ind w:firstLine="480"/>
        <w:rPr>
          <w:rFonts w:ascii="宋体" w:hAnsi="宋体"/>
          <w:sz w:val="24"/>
        </w:rPr>
      </w:pPr>
      <w:r>
        <w:rPr>
          <w:rFonts w:hint="eastAsia" w:ascii="宋体" w:hAnsi="宋体"/>
          <w:sz w:val="24"/>
        </w:rPr>
        <w:t>②提供</w:t>
      </w:r>
      <w:r>
        <w:rPr>
          <w:rFonts w:hint="eastAsia" w:ascii="宋体" w:hAnsi="宋体"/>
          <w:sz w:val="24"/>
          <w:highlight w:val="none"/>
        </w:rPr>
        <w:t>20</w:t>
      </w:r>
      <w:r>
        <w:rPr>
          <w:rFonts w:hint="eastAsia" w:ascii="宋体" w:hAnsi="宋体"/>
          <w:sz w:val="24"/>
          <w:highlight w:val="none"/>
          <w:lang w:val="en-US" w:eastAsia="zh-CN"/>
        </w:rPr>
        <w:t>21</w:t>
      </w:r>
      <w:r>
        <w:rPr>
          <w:rFonts w:hint="eastAsia" w:ascii="宋体" w:hAnsi="宋体"/>
          <w:sz w:val="24"/>
          <w:highlight w:val="none"/>
        </w:rPr>
        <w:t>年度</w:t>
      </w:r>
      <w:r>
        <w:rPr>
          <w:rFonts w:hint="eastAsia" w:ascii="宋体" w:hAnsi="宋体"/>
          <w:sz w:val="24"/>
          <w:highlight w:val="none"/>
          <w:lang w:val="en-US" w:eastAsia="zh-CN"/>
        </w:rPr>
        <w:t>或2022年度</w:t>
      </w:r>
      <w:r>
        <w:rPr>
          <w:rFonts w:hint="eastAsia" w:ascii="宋体" w:hAnsi="宋体"/>
          <w:sz w:val="24"/>
        </w:rPr>
        <w:t>供应商内部的财务报表复印件（至少包含资产负债表、利润表、现金流量表）；</w:t>
      </w:r>
    </w:p>
    <w:p>
      <w:pPr>
        <w:pStyle w:val="62"/>
        <w:spacing w:line="420" w:lineRule="exact"/>
        <w:ind w:firstLine="480"/>
        <w:rPr>
          <w:rFonts w:ascii="宋体" w:hAnsi="宋体"/>
          <w:sz w:val="24"/>
        </w:rPr>
      </w:pPr>
      <w:r>
        <w:rPr>
          <w:rFonts w:hint="eastAsia" w:ascii="宋体" w:hAnsi="宋体"/>
          <w:sz w:val="24"/>
        </w:rPr>
        <w:t>③提供截至投标文件递交截止日一年内银行出具的资信证明（复印件）；</w:t>
      </w:r>
    </w:p>
    <w:p>
      <w:pPr>
        <w:pStyle w:val="62"/>
        <w:spacing w:line="420" w:lineRule="exact"/>
        <w:ind w:firstLine="480"/>
        <w:rPr>
          <w:rFonts w:ascii="宋体" w:hAnsi="宋体"/>
          <w:sz w:val="24"/>
        </w:rPr>
      </w:pPr>
      <w:r>
        <w:rPr>
          <w:rFonts w:hint="eastAsia" w:ascii="宋体" w:hAnsi="宋体"/>
          <w:sz w:val="24"/>
        </w:rPr>
        <w:t>④供应商注册时间截至投标文件递交截止日不足一年的，提供在工商备案的公司章程（复印件）。</w:t>
      </w:r>
    </w:p>
    <w:p>
      <w:pPr>
        <w:pStyle w:val="62"/>
        <w:spacing w:line="420" w:lineRule="exact"/>
        <w:ind w:firstLine="480"/>
        <w:rPr>
          <w:rFonts w:ascii="宋体" w:hAnsi="宋体"/>
          <w:sz w:val="24"/>
        </w:rPr>
      </w:pPr>
      <w:r>
        <w:rPr>
          <w:rFonts w:hint="eastAsia" w:ascii="宋体" w:hAnsi="宋体"/>
          <w:sz w:val="24"/>
        </w:rPr>
        <w:t>注：供应商根据自身情况选择提供以上①-④项其中之一。</w:t>
      </w:r>
    </w:p>
    <w:p>
      <w:pPr>
        <w:pStyle w:val="62"/>
        <w:spacing w:line="420" w:lineRule="exact"/>
        <w:ind w:firstLine="480"/>
        <w:rPr>
          <w:rFonts w:ascii="宋体" w:hAnsi="宋体"/>
          <w:sz w:val="24"/>
        </w:rPr>
      </w:pPr>
      <w:r>
        <w:rPr>
          <w:rFonts w:hint="eastAsia" w:ascii="宋体" w:hAnsi="宋体"/>
          <w:sz w:val="24"/>
        </w:rPr>
        <w:t>3. 具备履行合同所必需的设备和专业技术能力的证明材料；</w:t>
      </w:r>
    </w:p>
    <w:p>
      <w:pPr>
        <w:pStyle w:val="62"/>
        <w:spacing w:line="420" w:lineRule="exact"/>
        <w:ind w:firstLine="480"/>
        <w:rPr>
          <w:rFonts w:ascii="宋体" w:hAnsi="宋体"/>
          <w:sz w:val="24"/>
        </w:rPr>
      </w:pPr>
      <w:r>
        <w:rPr>
          <w:rFonts w:hint="eastAsia" w:ascii="宋体" w:hAnsi="宋体"/>
          <w:sz w:val="24"/>
        </w:rPr>
        <w:t>提供承诺函原件。</w:t>
      </w:r>
    </w:p>
    <w:p>
      <w:pPr>
        <w:pStyle w:val="62"/>
        <w:spacing w:line="420" w:lineRule="exact"/>
        <w:ind w:firstLine="480"/>
        <w:rPr>
          <w:rFonts w:ascii="宋体" w:hAnsi="宋体"/>
          <w:sz w:val="24"/>
        </w:rPr>
      </w:pPr>
      <w:r>
        <w:rPr>
          <w:rFonts w:hint="eastAsia" w:ascii="宋体" w:hAnsi="宋体"/>
          <w:sz w:val="24"/>
        </w:rPr>
        <w:t>4.具有依法缴纳税收和社会保障资金的良好记录；</w:t>
      </w:r>
    </w:p>
    <w:p>
      <w:pPr>
        <w:pStyle w:val="62"/>
        <w:spacing w:line="420" w:lineRule="exact"/>
        <w:ind w:firstLine="480"/>
        <w:rPr>
          <w:rFonts w:ascii="宋体" w:hAnsi="宋体"/>
          <w:sz w:val="24"/>
        </w:rPr>
      </w:pPr>
      <w:r>
        <w:rPr>
          <w:rFonts w:hint="eastAsia" w:ascii="宋体" w:hAnsi="宋体"/>
          <w:sz w:val="24"/>
        </w:rPr>
        <w:t>提供承诺函原件。</w:t>
      </w:r>
    </w:p>
    <w:p>
      <w:pPr>
        <w:pStyle w:val="62"/>
        <w:spacing w:line="420" w:lineRule="exact"/>
        <w:ind w:firstLine="480"/>
        <w:rPr>
          <w:rFonts w:ascii="宋体" w:hAnsi="宋体"/>
          <w:sz w:val="24"/>
        </w:rPr>
      </w:pPr>
      <w:r>
        <w:rPr>
          <w:rFonts w:hint="eastAsia" w:ascii="宋体" w:hAnsi="宋体"/>
          <w:sz w:val="24"/>
        </w:rPr>
        <w:t>5.参加政府采购活动前三年内，在经营活动中没有重大违法记录；</w:t>
      </w:r>
    </w:p>
    <w:p>
      <w:pPr>
        <w:pStyle w:val="62"/>
        <w:spacing w:line="420" w:lineRule="exact"/>
        <w:ind w:firstLine="480"/>
        <w:rPr>
          <w:rFonts w:ascii="宋体" w:hAnsi="宋体"/>
          <w:sz w:val="24"/>
        </w:rPr>
      </w:pPr>
      <w:r>
        <w:rPr>
          <w:rFonts w:hint="eastAsia" w:ascii="宋体" w:hAnsi="宋体"/>
          <w:sz w:val="24"/>
        </w:rPr>
        <w:t>提供承诺函原件</w:t>
      </w:r>
    </w:p>
    <w:p>
      <w:pPr>
        <w:pStyle w:val="62"/>
        <w:spacing w:line="420" w:lineRule="exact"/>
        <w:ind w:firstLine="480"/>
        <w:rPr>
          <w:rFonts w:ascii="宋体" w:hAnsi="宋体"/>
          <w:sz w:val="24"/>
        </w:rPr>
      </w:pPr>
      <w:r>
        <w:rPr>
          <w:rFonts w:hint="eastAsia" w:ascii="宋体" w:hAnsi="宋体"/>
          <w:sz w:val="24"/>
        </w:rPr>
        <w:t>6. 符合法律、行政法规规定的其他条件</w:t>
      </w:r>
    </w:p>
    <w:p>
      <w:pPr>
        <w:pStyle w:val="62"/>
        <w:spacing w:line="420" w:lineRule="exact"/>
        <w:ind w:firstLine="480"/>
        <w:rPr>
          <w:rFonts w:ascii="宋体" w:hAnsi="宋体"/>
          <w:sz w:val="24"/>
        </w:rPr>
      </w:pPr>
      <w:r>
        <w:rPr>
          <w:rFonts w:hint="eastAsia" w:ascii="宋体" w:hAnsi="宋体"/>
          <w:sz w:val="24"/>
        </w:rPr>
        <w:t>提供承诺函原件</w:t>
      </w:r>
    </w:p>
    <w:p>
      <w:pPr>
        <w:spacing w:line="312" w:lineRule="auto"/>
        <w:ind w:firstLine="542" w:firstLineChars="225"/>
        <w:rPr>
          <w:rFonts w:ascii="宋体" w:hAnsi="宋体"/>
          <w:b/>
          <w:sz w:val="24"/>
        </w:rPr>
      </w:pPr>
      <w:r>
        <w:rPr>
          <w:rFonts w:hint="eastAsia" w:ascii="宋体" w:hAnsi="宋体"/>
          <w:b/>
          <w:sz w:val="24"/>
        </w:rPr>
        <w:t>（二）本项目的特定资格要求：</w:t>
      </w:r>
    </w:p>
    <w:p>
      <w:pPr>
        <w:pStyle w:val="62"/>
        <w:spacing w:line="420" w:lineRule="exact"/>
        <w:ind w:firstLine="480"/>
        <w:rPr>
          <w:rFonts w:hint="eastAsia" w:ascii="宋体" w:hAnsi="宋体" w:eastAsia="宋体" w:cs="Times New Roman"/>
          <w:sz w:val="24"/>
        </w:rPr>
      </w:pPr>
      <w:r>
        <w:rPr>
          <w:rFonts w:hint="eastAsia" w:ascii="宋体" w:hAnsi="宋体" w:eastAsia="宋体" w:cs="Times New Roman"/>
          <w:sz w:val="24"/>
        </w:rPr>
        <w:t>具有水行政主管部门颁发的水利工程施工监理</w:t>
      </w:r>
      <w:r>
        <w:rPr>
          <w:rFonts w:hint="eastAsia" w:ascii="宋体" w:hAnsi="宋体" w:eastAsia="宋体" w:cs="Times New Roman"/>
          <w:sz w:val="24"/>
          <w:lang w:val="en-US" w:eastAsia="zh-CN"/>
        </w:rPr>
        <w:t>丙</w:t>
      </w:r>
      <w:r>
        <w:rPr>
          <w:rFonts w:hint="eastAsia" w:ascii="宋体" w:hAnsi="宋体" w:eastAsia="宋体" w:cs="Times New Roman"/>
          <w:sz w:val="24"/>
        </w:rPr>
        <w:t>级及以上资质。</w:t>
      </w:r>
    </w:p>
    <w:p>
      <w:pPr>
        <w:pStyle w:val="4"/>
        <w:spacing w:line="360" w:lineRule="exact"/>
        <w:rPr>
          <w:rFonts w:ascii="宋体" w:eastAsia="宋体"/>
          <w:sz w:val="24"/>
          <w:szCs w:val="24"/>
        </w:rPr>
      </w:pPr>
      <w:r>
        <w:rPr>
          <w:rFonts w:hint="eastAsia"/>
          <w:b w:val="0"/>
          <w:bCs w:val="0"/>
          <w:sz w:val="24"/>
          <w:szCs w:val="24"/>
        </w:rPr>
        <w:t>二、</w:t>
      </w:r>
      <w:r>
        <w:rPr>
          <w:rFonts w:hint="eastAsia" w:ascii="宋体" w:eastAsia="宋体"/>
          <w:sz w:val="24"/>
          <w:szCs w:val="24"/>
        </w:rPr>
        <w:t>应当提供</w:t>
      </w:r>
      <w:r>
        <w:rPr>
          <w:rFonts w:hint="eastAsia" w:ascii="宋体" w:eastAsia="宋体"/>
          <w:sz w:val="24"/>
          <w:szCs w:val="24"/>
          <w:lang w:val="en-US" w:eastAsia="zh-CN"/>
        </w:rPr>
        <w:t>相关服务</w:t>
      </w:r>
      <w:r>
        <w:rPr>
          <w:rFonts w:hint="eastAsia" w:ascii="宋体" w:eastAsia="宋体"/>
          <w:sz w:val="24"/>
          <w:szCs w:val="24"/>
        </w:rPr>
        <w:t>的资格、资质性及其他类似效力要求的相关证明材料</w:t>
      </w:r>
    </w:p>
    <w:p>
      <w:pPr>
        <w:pStyle w:val="62"/>
        <w:ind w:firstLine="480"/>
        <w:rPr>
          <w:rFonts w:ascii="宋体" w:hAnsi="宋体"/>
          <w:sz w:val="24"/>
        </w:rPr>
      </w:pPr>
      <w:r>
        <w:rPr>
          <w:rFonts w:hint="eastAsia" w:ascii="宋体" w:hAnsi="宋体"/>
          <w:sz w:val="24"/>
        </w:rPr>
        <w:t>1.</w:t>
      </w:r>
      <w:r>
        <w:rPr>
          <w:rFonts w:hint="eastAsia"/>
        </w:rPr>
        <w:t xml:space="preserve"> </w:t>
      </w:r>
      <w:r>
        <w:rPr>
          <w:rFonts w:hint="eastAsia" w:ascii="宋体" w:hAnsi="宋体"/>
          <w:sz w:val="24"/>
        </w:rPr>
        <w:t>供应商单位及其法定代表人/主要负责人在参加本项目采购活动前三年无行贿犯罪记录。</w:t>
      </w:r>
    </w:p>
    <w:p>
      <w:pPr>
        <w:pStyle w:val="62"/>
        <w:ind w:firstLine="480"/>
        <w:rPr>
          <w:rFonts w:ascii="宋体" w:hAnsi="宋体"/>
          <w:sz w:val="24"/>
        </w:rPr>
      </w:pPr>
      <w:r>
        <w:rPr>
          <w:rFonts w:hint="eastAsia" w:ascii="宋体" w:hAnsi="宋体"/>
          <w:sz w:val="24"/>
        </w:rPr>
        <w:t>提供承诺函原件；</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法定代表人/单位负责人身份证明原件及附件。（法定代表人/单位负责人亲自参加适用）</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法定代表人/单位负责人授权书原件及附件（授权代表参加适用）。</w:t>
      </w:r>
    </w:p>
    <w:p>
      <w:pPr>
        <w:spacing w:line="420" w:lineRule="exact"/>
        <w:rPr>
          <w:rFonts w:ascii="宋体" w:hAnsi="宋体"/>
        </w:rPr>
      </w:pPr>
    </w:p>
    <w:p>
      <w:pPr>
        <w:widowControl/>
        <w:jc w:val="left"/>
        <w:rPr>
          <w:rFonts w:ascii="宋体" w:hAnsi="宋体"/>
          <w:b/>
          <w:sz w:val="32"/>
        </w:rPr>
      </w:pPr>
      <w:r>
        <w:rPr>
          <w:rFonts w:hint="eastAsia" w:ascii="宋体" w:hAnsi="宋体"/>
          <w:b/>
          <w:bCs/>
          <w:sz w:val="24"/>
        </w:rPr>
        <w:t>注：以上要求的资料复印件（身份证明材料除外）均须加盖供应商的公章（鲜章）。</w:t>
      </w:r>
    </w:p>
    <w:p>
      <w:pPr>
        <w:widowControl/>
        <w:jc w:val="left"/>
        <w:rPr>
          <w:rFonts w:ascii="宋体" w:hAnsi="宋体"/>
          <w:b/>
          <w:sz w:val="32"/>
        </w:rPr>
      </w:pPr>
      <w:r>
        <w:rPr>
          <w:rFonts w:ascii="宋体" w:hAnsi="宋体"/>
          <w:b/>
          <w:sz w:val="32"/>
        </w:rPr>
        <w:br w:type="page"/>
      </w:r>
    </w:p>
    <w:p>
      <w:pPr>
        <w:pStyle w:val="3"/>
        <w:spacing w:line="240" w:lineRule="auto"/>
        <w:jc w:val="center"/>
        <w:rPr>
          <w:rFonts w:ascii="宋体" w:hAnsi="宋体"/>
          <w:sz w:val="36"/>
          <w:szCs w:val="36"/>
        </w:rPr>
      </w:pPr>
      <w:bookmarkStart w:id="31" w:name="_Toc5227"/>
      <w:r>
        <w:rPr>
          <w:rFonts w:hint="eastAsia" w:ascii="宋体" w:hAnsi="宋体"/>
          <w:sz w:val="36"/>
          <w:szCs w:val="36"/>
        </w:rPr>
        <w:t>第五章  采购项目技术、服务、采购合同内容条款及其他商务要求</w:t>
      </w:r>
      <w:bookmarkEnd w:id="31"/>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（一）项目概述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bookmarkStart w:id="32" w:name="_Toc217446095"/>
      <w:r>
        <w:rPr>
          <w:rFonts w:hint="eastAsia" w:ascii="宋体" w:hAnsi="宋体" w:eastAsia="宋体" w:cs="Times New Roman"/>
          <w:sz w:val="24"/>
        </w:rPr>
        <w:t>1、对锦水河进水闸胸墙</w:t>
      </w:r>
      <w:r>
        <w:rPr>
          <w:rFonts w:hint="eastAsia" w:ascii="宋体" w:hAnsi="宋体" w:eastAsia="宋体" w:cs="Times New Roman"/>
          <w:sz w:val="24"/>
          <w:lang w:eastAsia="zh-CN"/>
        </w:rPr>
        <w:t>、</w:t>
      </w:r>
      <w:r>
        <w:rPr>
          <w:rFonts w:hint="eastAsia" w:ascii="宋体" w:hAnsi="宋体" w:eastAsia="宋体" w:cs="Times New Roman"/>
          <w:sz w:val="24"/>
        </w:rPr>
        <w:t>胸墙</w:t>
      </w:r>
      <w:r>
        <w:rPr>
          <w:rFonts w:hint="eastAsia" w:ascii="宋体" w:hAnsi="宋体" w:eastAsia="宋体" w:cs="Times New Roman"/>
          <w:sz w:val="24"/>
          <w:lang w:val="en-US" w:eastAsia="zh-CN"/>
        </w:rPr>
        <w:t>与闸墩连接处，</w:t>
      </w:r>
      <w:r>
        <w:rPr>
          <w:rFonts w:hint="eastAsia" w:ascii="宋体" w:hAnsi="宋体" w:eastAsia="宋体" w:cs="Times New Roman"/>
          <w:sz w:val="24"/>
        </w:rPr>
        <w:t>拦河闸闸室</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闸槽等进行修复，</w:t>
      </w:r>
      <w:r>
        <w:rPr>
          <w:rFonts w:hint="eastAsia" w:ascii="宋体" w:hAnsi="宋体" w:eastAsia="宋体" w:cs="Times New Roman"/>
          <w:sz w:val="24"/>
        </w:rPr>
        <w:t>枢纽的拦河闸5-7#闸门及钢绳更换。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2、人民渠干渠桩号86+550～86+650段（整治段桩号86+550～86+590），对该段干渠右岸渠堤背坡修建C25砼挡土墙40m，左岸背坡修建C25砼挡土墙长10m，整治渠堤背坡排水沟30m。</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3、工程设计图纸及清单涉及的其他内容（详见工程量清单）。</w:t>
      </w:r>
    </w:p>
    <w:p>
      <w:pPr>
        <w:pStyle w:val="4"/>
        <w:pageBreakBefore w:val="0"/>
        <w:widowControl w:val="0"/>
        <w:kinsoku/>
        <w:wordWrap/>
        <w:overflowPunct/>
        <w:topLinePunct w:val="0"/>
        <w:autoSpaceDE/>
        <w:autoSpaceDN/>
        <w:bidi w:val="0"/>
        <w:adjustRightInd/>
        <w:snapToGrid/>
        <w:spacing w:line="500" w:lineRule="exact"/>
        <w:ind w:firstLine="236" w:firstLineChars="98"/>
        <w:textAlignment w:val="auto"/>
        <w:rPr>
          <w:rFonts w:ascii="宋体" w:hAnsi="宋体" w:eastAsia="宋体"/>
          <w:sz w:val="24"/>
          <w:szCs w:val="24"/>
        </w:rPr>
      </w:pPr>
      <w:r>
        <w:rPr>
          <w:rFonts w:hint="eastAsia" w:ascii="宋体" w:hAnsi="宋体" w:eastAsia="宋体"/>
          <w:sz w:val="24"/>
          <w:szCs w:val="24"/>
        </w:rPr>
        <w:t>（二）商务要求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1．服务期限及地点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1.1 服务期限：施工工期+缺陷责任期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rPr>
        <w:t>1.2 服务地点: 成都市新都区、德阳市旌阳区境内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 xml:space="preserve"> 质量要求：达到国家现行水利工程施工质量验收规范合格标准。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2．付款方法和条件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采购合同生效并具备实施条件后，采购人按项目进度进行拨付；项目完工验收合格后14日内支付至合同金额的85%。缺陷责任期满后支付至合同金额的 100%。（采购人每次付款前，成交供应商应提供足额正式的发票，否则采购人有权拒绝付款。</w:t>
      </w:r>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（三）服务要求</w:t>
      </w:r>
      <w:bookmarkEnd w:id="32"/>
    </w:p>
    <w:p>
      <w:pPr>
        <w:tabs>
          <w:tab w:val="left" w:pos="7665"/>
        </w:tabs>
        <w:spacing w:line="360" w:lineRule="auto"/>
        <w:ind w:firstLine="480" w:firstLineChars="200"/>
        <w:rPr>
          <w:sz w:val="24"/>
          <w:szCs w:val="22"/>
        </w:rPr>
      </w:pPr>
      <w:r>
        <w:rPr>
          <w:sz w:val="24"/>
          <w:szCs w:val="22"/>
        </w:rPr>
        <w:t>监理单位应及时编制监理规划及计划，熟悉有关合同。</w:t>
      </w:r>
      <w:r>
        <w:rPr>
          <w:rFonts w:hint="eastAsia"/>
          <w:sz w:val="24"/>
          <w:szCs w:val="22"/>
        </w:rPr>
        <w:t>按照水利工程施工监理规范（SL288-2014）开展监理服务。</w:t>
      </w:r>
      <w:r>
        <w:rPr>
          <w:sz w:val="24"/>
          <w:szCs w:val="22"/>
        </w:rPr>
        <w:t>监理服务主要内容如下:</w:t>
      </w:r>
      <w:r>
        <w:rPr>
          <w:sz w:val="24"/>
          <w:szCs w:val="22"/>
        </w:rPr>
        <w:br w:type="textWrapping"/>
      </w:r>
      <w:r>
        <w:rPr>
          <w:sz w:val="24"/>
          <w:szCs w:val="22"/>
        </w:rPr>
        <w:t xml:space="preserve">   </w:t>
      </w:r>
      <w:r>
        <w:rPr>
          <w:rFonts w:hint="eastAsia"/>
          <w:sz w:val="24"/>
          <w:szCs w:val="22"/>
        </w:rPr>
        <w:t>①</w:t>
      </w:r>
      <w:r>
        <w:rPr>
          <w:sz w:val="24"/>
          <w:szCs w:val="22"/>
        </w:rPr>
        <w:t>用于本工程项目的</w:t>
      </w:r>
      <w:r>
        <w:rPr>
          <w:rFonts w:hint="eastAsia"/>
          <w:sz w:val="24"/>
          <w:szCs w:val="22"/>
          <w:lang w:val="en-US" w:eastAsia="zh-CN"/>
        </w:rPr>
        <w:t>材料</w:t>
      </w:r>
      <w:r>
        <w:rPr>
          <w:sz w:val="24"/>
          <w:szCs w:val="22"/>
        </w:rPr>
        <w:t>方面</w:t>
      </w:r>
      <w:r>
        <w:rPr>
          <w:sz w:val="24"/>
          <w:szCs w:val="22"/>
        </w:rPr>
        <w:br w:type="textWrapping"/>
      </w:r>
      <w:r>
        <w:rPr>
          <w:rFonts w:hint="eastAsia"/>
          <w:sz w:val="24"/>
          <w:szCs w:val="22"/>
        </w:rPr>
        <w:t xml:space="preserve">    </w:t>
      </w:r>
      <w:r>
        <w:rPr>
          <w:sz w:val="24"/>
          <w:szCs w:val="22"/>
        </w:rPr>
        <w:t>1</w:t>
      </w:r>
      <w:r>
        <w:rPr>
          <w:rFonts w:hint="eastAsia"/>
          <w:sz w:val="24"/>
          <w:szCs w:val="22"/>
        </w:rPr>
        <w:t>、</w:t>
      </w:r>
      <w:r>
        <w:rPr>
          <w:sz w:val="24"/>
          <w:szCs w:val="22"/>
        </w:rPr>
        <w:t>依据施工承包合同及施工进度计划，审核施工单位提交的主要工程原材料供应计划；</w:t>
      </w:r>
    </w:p>
    <w:p>
      <w:pPr>
        <w:tabs>
          <w:tab w:val="left" w:pos="7665"/>
        </w:tabs>
        <w:spacing w:line="360" w:lineRule="auto"/>
        <w:ind w:left="479" w:leftChars="228"/>
        <w:rPr>
          <w:sz w:val="24"/>
          <w:szCs w:val="22"/>
        </w:rPr>
      </w:pPr>
      <w:r>
        <w:rPr>
          <w:sz w:val="24"/>
          <w:szCs w:val="22"/>
        </w:rPr>
        <w:t>2</w:t>
      </w:r>
      <w:r>
        <w:rPr>
          <w:rFonts w:hint="eastAsia"/>
          <w:sz w:val="24"/>
          <w:szCs w:val="22"/>
        </w:rPr>
        <w:t>、</w:t>
      </w:r>
      <w:r>
        <w:rPr>
          <w:sz w:val="24"/>
          <w:szCs w:val="22"/>
        </w:rPr>
        <w:t>审批施工单位报用于本工程的原始材料以及工艺试验、标准试验。</w:t>
      </w:r>
      <w:r>
        <w:rPr>
          <w:sz w:val="24"/>
          <w:szCs w:val="22"/>
        </w:rPr>
        <w:br w:type="textWrapping"/>
      </w:r>
      <w:r>
        <w:rPr>
          <w:sz w:val="24"/>
          <w:szCs w:val="22"/>
        </w:rPr>
        <w:t>3</w:t>
      </w:r>
      <w:r>
        <w:rPr>
          <w:rFonts w:hint="eastAsia"/>
          <w:sz w:val="24"/>
          <w:szCs w:val="22"/>
        </w:rPr>
        <w:t>、</w:t>
      </w:r>
      <w:r>
        <w:rPr>
          <w:sz w:val="24"/>
          <w:szCs w:val="22"/>
        </w:rPr>
        <w:t>审查成交供应商报用于本工程的机械装备的性能与数量；</w:t>
      </w:r>
    </w:p>
    <w:p>
      <w:pPr>
        <w:tabs>
          <w:tab w:val="left" w:pos="7665"/>
        </w:tabs>
        <w:spacing w:line="360" w:lineRule="auto"/>
        <w:ind w:firstLine="480" w:firstLineChars="200"/>
        <w:rPr>
          <w:sz w:val="24"/>
          <w:szCs w:val="22"/>
        </w:rPr>
      </w:pPr>
      <w:r>
        <w:rPr>
          <w:sz w:val="24"/>
          <w:szCs w:val="22"/>
        </w:rPr>
        <w:t>4</w:t>
      </w:r>
      <w:r>
        <w:rPr>
          <w:rFonts w:hint="eastAsia"/>
          <w:sz w:val="24"/>
          <w:szCs w:val="22"/>
        </w:rPr>
        <w:t>、</w:t>
      </w:r>
      <w:r>
        <w:rPr>
          <w:sz w:val="24"/>
          <w:szCs w:val="22"/>
        </w:rPr>
        <w:t>控制重要外购成品件或半成品件的质量；</w:t>
      </w:r>
    </w:p>
    <w:p>
      <w:pPr>
        <w:tabs>
          <w:tab w:val="left" w:pos="7665"/>
        </w:tabs>
        <w:spacing w:line="360" w:lineRule="auto"/>
        <w:ind w:firstLine="480" w:firstLineChars="200"/>
        <w:rPr>
          <w:sz w:val="24"/>
          <w:szCs w:val="22"/>
        </w:rPr>
      </w:pPr>
      <w:r>
        <w:rPr>
          <w:sz w:val="24"/>
          <w:szCs w:val="22"/>
        </w:rPr>
        <w:t>5</w:t>
      </w:r>
      <w:r>
        <w:rPr>
          <w:rFonts w:hint="eastAsia"/>
          <w:sz w:val="24"/>
          <w:szCs w:val="22"/>
        </w:rPr>
        <w:t>、</w:t>
      </w:r>
      <w:r>
        <w:rPr>
          <w:sz w:val="24"/>
          <w:szCs w:val="22"/>
        </w:rPr>
        <w:t>其它相关业务。</w:t>
      </w:r>
    </w:p>
    <w:p>
      <w:pPr>
        <w:tabs>
          <w:tab w:val="left" w:pos="7665"/>
        </w:tabs>
        <w:spacing w:line="360" w:lineRule="auto"/>
        <w:ind w:left="239" w:leftChars="114"/>
        <w:rPr>
          <w:sz w:val="24"/>
          <w:szCs w:val="22"/>
        </w:rPr>
      </w:pPr>
      <w:r>
        <w:rPr>
          <w:rFonts w:hint="eastAsia"/>
          <w:sz w:val="24"/>
          <w:szCs w:val="22"/>
        </w:rPr>
        <w:t>②</w:t>
      </w:r>
      <w:r>
        <w:rPr>
          <w:sz w:val="24"/>
          <w:szCs w:val="22"/>
        </w:rPr>
        <w:t>工程施工方面</w:t>
      </w:r>
    </w:p>
    <w:p>
      <w:pPr>
        <w:tabs>
          <w:tab w:val="left" w:pos="7665"/>
        </w:tabs>
        <w:spacing w:line="360" w:lineRule="auto"/>
        <w:ind w:firstLine="480" w:firstLineChars="200"/>
        <w:rPr>
          <w:sz w:val="24"/>
        </w:rPr>
      </w:pPr>
      <w:r>
        <w:rPr>
          <w:rFonts w:hint="eastAsia"/>
          <w:sz w:val="24"/>
        </w:rPr>
        <w:t>1、</w:t>
      </w:r>
      <w:r>
        <w:rPr>
          <w:sz w:val="24"/>
        </w:rPr>
        <w:t>编制监理工程项目的监理规划和监理实施细则；</w:t>
      </w:r>
    </w:p>
    <w:p>
      <w:pPr>
        <w:tabs>
          <w:tab w:val="left" w:pos="7665"/>
        </w:tabs>
        <w:spacing w:line="360" w:lineRule="auto"/>
        <w:ind w:firstLine="480" w:firstLineChars="200"/>
        <w:rPr>
          <w:sz w:val="24"/>
        </w:rPr>
      </w:pPr>
      <w:r>
        <w:rPr>
          <w:rFonts w:hint="eastAsia"/>
          <w:sz w:val="24"/>
        </w:rPr>
        <w:t>2、</w:t>
      </w:r>
      <w:r>
        <w:rPr>
          <w:sz w:val="24"/>
        </w:rPr>
        <w:t>全面管理施工承包合同，制止工程分包、转包行为；</w:t>
      </w:r>
    </w:p>
    <w:p>
      <w:pPr>
        <w:tabs>
          <w:tab w:val="left" w:pos="7665"/>
        </w:tabs>
        <w:spacing w:line="360" w:lineRule="auto"/>
        <w:ind w:firstLine="480" w:firstLineChars="200"/>
        <w:rPr>
          <w:sz w:val="24"/>
        </w:rPr>
      </w:pPr>
      <w:r>
        <w:rPr>
          <w:rFonts w:hint="eastAsia"/>
          <w:sz w:val="24"/>
        </w:rPr>
        <w:t>3、</w:t>
      </w:r>
      <w:r>
        <w:rPr>
          <w:sz w:val="24"/>
        </w:rPr>
        <w:t>检查施工单位的施工准备工作，审查施工单位提交的单项工程开工申请报告，并在检查与审查合格后签发开工令。检查监督施工单位严格执行审批的施工总平面布置，制止其违背施工总平面布置要求进行场地和施工布置行为。</w:t>
      </w:r>
    </w:p>
    <w:p>
      <w:pPr>
        <w:tabs>
          <w:tab w:val="left" w:pos="7665"/>
        </w:tabs>
        <w:spacing w:line="360" w:lineRule="auto"/>
        <w:ind w:firstLine="480" w:firstLineChars="200"/>
        <w:rPr>
          <w:sz w:val="24"/>
        </w:rPr>
      </w:pPr>
      <w:r>
        <w:rPr>
          <w:sz w:val="24"/>
        </w:rPr>
        <w:t>4</w:t>
      </w:r>
      <w:r>
        <w:rPr>
          <w:rFonts w:hint="eastAsia"/>
          <w:sz w:val="24"/>
        </w:rPr>
        <w:t>、</w:t>
      </w:r>
      <w:r>
        <w:rPr>
          <w:sz w:val="24"/>
        </w:rPr>
        <w:t>审批施工单位提交的施工组织设计、施工技术措施、作业规程、工艺试验成果、使用的原材料及试验成果等，答复施工单位提出的建议和意见。</w:t>
      </w:r>
    </w:p>
    <w:p>
      <w:pPr>
        <w:tabs>
          <w:tab w:val="left" w:pos="7665"/>
        </w:tabs>
        <w:spacing w:line="360" w:lineRule="auto"/>
        <w:ind w:firstLine="480" w:firstLineChars="200"/>
        <w:rPr>
          <w:sz w:val="24"/>
        </w:rPr>
      </w:pPr>
      <w:r>
        <w:rPr>
          <w:sz w:val="24"/>
        </w:rPr>
        <w:t>5</w:t>
      </w:r>
      <w:r>
        <w:rPr>
          <w:rFonts w:hint="eastAsia"/>
          <w:sz w:val="24"/>
        </w:rPr>
        <w:t>、</w:t>
      </w:r>
      <w:r>
        <w:rPr>
          <w:sz w:val="24"/>
        </w:rPr>
        <w:t xml:space="preserve">依据施工承包合同检查施工单位派驻现场主要管理人员到位情况是否与投标书一致，并对其施工经验与管理能力做出评价；核查进场施工设备的数量、种类，规格型号，设备完好状况是否与投标书一致，能否满足施工要求；核查劳动力进场情况及物资资料进场情况等，对上述诸项中不符合合同要求，不能满足本工程施工要求的，应及时要求施工单位采取措施限期解决。 </w:t>
      </w:r>
    </w:p>
    <w:p>
      <w:pPr>
        <w:tabs>
          <w:tab w:val="left" w:pos="7665"/>
        </w:tabs>
        <w:spacing w:line="360" w:lineRule="auto"/>
        <w:ind w:firstLine="480" w:firstLineChars="200"/>
        <w:rPr>
          <w:sz w:val="24"/>
          <w:szCs w:val="22"/>
        </w:rPr>
      </w:pPr>
      <w:r>
        <w:rPr>
          <w:sz w:val="24"/>
        </w:rPr>
        <w:t>6</w:t>
      </w:r>
      <w:r>
        <w:rPr>
          <w:rFonts w:hint="eastAsia"/>
          <w:sz w:val="24"/>
        </w:rPr>
        <w:t>、</w:t>
      </w:r>
      <w:r>
        <w:rPr>
          <w:sz w:val="24"/>
        </w:rPr>
        <w:t>工程进度控制工作主要应从进度计划的编制及各控制性目标的确定、进度计划实施的检查监督与协调、进度的统计分析与进度计划的调整等几方面采取相应的措施进行控制。主要内容及要求如下:</w:t>
      </w:r>
      <w:r>
        <w:rPr>
          <w:sz w:val="24"/>
        </w:rPr>
        <w:br w:type="textWrapping"/>
      </w:r>
      <w:r>
        <w:rPr>
          <w:rFonts w:hint="eastAsia"/>
          <w:sz w:val="24"/>
        </w:rPr>
        <w:t xml:space="preserve">    （1）</w:t>
      </w:r>
      <w:r>
        <w:rPr>
          <w:sz w:val="24"/>
          <w:szCs w:val="22"/>
        </w:rPr>
        <w:t>编制监理工程项目的控制性进度计划。</w:t>
      </w:r>
      <w:r>
        <w:rPr>
          <w:sz w:val="24"/>
          <w:szCs w:val="22"/>
        </w:rPr>
        <w:br w:type="textWrapping"/>
      </w:r>
      <w:r>
        <w:rPr>
          <w:rFonts w:hint="eastAsia"/>
          <w:sz w:val="24"/>
          <w:szCs w:val="22"/>
        </w:rPr>
        <w:t xml:space="preserve">    （2）</w:t>
      </w:r>
      <w:r>
        <w:rPr>
          <w:sz w:val="24"/>
          <w:szCs w:val="22"/>
        </w:rPr>
        <w:t>以监理工程项目控制性总进度计划为基础，在合同规定的期限内对施工单位提交的实施性进度计划进行审核批准。</w:t>
      </w:r>
    </w:p>
    <w:p>
      <w:pPr>
        <w:tabs>
          <w:tab w:val="left" w:pos="7665"/>
        </w:tabs>
        <w:spacing w:line="360" w:lineRule="auto"/>
        <w:ind w:firstLine="480" w:firstLineChars="200"/>
        <w:rPr>
          <w:sz w:val="24"/>
          <w:szCs w:val="22"/>
        </w:rPr>
      </w:pPr>
      <w:r>
        <w:rPr>
          <w:rFonts w:hint="eastAsia"/>
          <w:sz w:val="24"/>
          <w:szCs w:val="22"/>
        </w:rPr>
        <w:t>（3）</w:t>
      </w:r>
      <w:r>
        <w:rPr>
          <w:sz w:val="24"/>
          <w:szCs w:val="22"/>
        </w:rPr>
        <w:t>逐日监督、检查、记录进度计划的实施，及时发出进度措施的指令，督促施工单位采取措施保证进度计划的实施。</w:t>
      </w:r>
      <w:r>
        <w:rPr>
          <w:sz w:val="24"/>
          <w:szCs w:val="22"/>
        </w:rPr>
        <w:br w:type="textWrapping"/>
      </w:r>
      <w:r>
        <w:rPr>
          <w:rFonts w:hint="eastAsia"/>
          <w:sz w:val="24"/>
          <w:szCs w:val="22"/>
        </w:rPr>
        <w:t xml:space="preserve">    （4）</w:t>
      </w:r>
      <w:r>
        <w:rPr>
          <w:sz w:val="24"/>
          <w:szCs w:val="22"/>
        </w:rPr>
        <w:t>对工程实际进度(施工部位及项目、完成的工程量及形象面积)进行还目的检查监督，并做好工程进度的记录和统计工作，并进行经营性和阶段性的工程实际进度与计划进度的对比分析，检查进度偏差的程度和产生的原因，分析预测进度偏偏差对后续施工工序和项目的影响程度，并提出指导性的解决措施。</w:t>
      </w:r>
      <w:r>
        <w:rPr>
          <w:sz w:val="24"/>
          <w:szCs w:val="22"/>
        </w:rPr>
        <w:br w:type="textWrapping"/>
      </w:r>
      <w:r>
        <w:rPr>
          <w:rFonts w:hint="eastAsia"/>
          <w:sz w:val="24"/>
          <w:szCs w:val="22"/>
        </w:rPr>
        <w:t xml:space="preserve">    （5）</w:t>
      </w:r>
      <w:r>
        <w:rPr>
          <w:sz w:val="24"/>
          <w:szCs w:val="22"/>
        </w:rPr>
        <w:t>当工程实际进度与计划进度相比发生较大偏差而有可能影响合同工期目标的实现时，监理单位应提出进度计划的调整意见，并指导施工单位相应调整实施性进度计划。进度计划的重大调整应书面报业主单位批准。</w:t>
      </w:r>
    </w:p>
    <w:p>
      <w:pPr>
        <w:tabs>
          <w:tab w:val="left" w:pos="7665"/>
        </w:tabs>
        <w:spacing w:line="360" w:lineRule="auto"/>
        <w:ind w:firstLine="480" w:firstLineChars="200"/>
        <w:rPr>
          <w:sz w:val="24"/>
          <w:szCs w:val="22"/>
        </w:rPr>
      </w:pPr>
      <w:r>
        <w:rPr>
          <w:rFonts w:hint="eastAsia"/>
          <w:sz w:val="24"/>
          <w:szCs w:val="22"/>
        </w:rPr>
        <w:t>（6）</w:t>
      </w:r>
      <w:r>
        <w:rPr>
          <w:sz w:val="24"/>
          <w:szCs w:val="22"/>
        </w:rPr>
        <w:t>当因各种原因造成合同工期变动时，监理单位应分清合同双方责任。及明公正的重新核定合同工期，公正合理地处理好施工单位的工期素赔要求，报业主单位批准。</w:t>
      </w:r>
      <w:r>
        <w:rPr>
          <w:sz w:val="24"/>
          <w:szCs w:val="22"/>
        </w:rPr>
        <w:br w:type="textWrapping"/>
      </w:r>
      <w:r>
        <w:rPr>
          <w:rFonts w:hint="eastAsia"/>
          <w:sz w:val="24"/>
          <w:szCs w:val="22"/>
        </w:rPr>
        <w:t xml:space="preserve">    （7）</w:t>
      </w:r>
      <w:r>
        <w:rPr>
          <w:sz w:val="24"/>
          <w:szCs w:val="22"/>
        </w:rPr>
        <w:t>检查督促施工单位按施规程规范施工、文明安全施工，防止出现因质量、安全事故及环保问题而影响工程施工进度。</w:t>
      </w:r>
    </w:p>
    <w:p>
      <w:pPr>
        <w:tabs>
          <w:tab w:val="left" w:pos="7665"/>
        </w:tabs>
        <w:spacing w:line="360" w:lineRule="auto"/>
        <w:ind w:firstLine="480" w:firstLineChars="200"/>
        <w:rPr>
          <w:sz w:val="24"/>
          <w:szCs w:val="22"/>
        </w:rPr>
      </w:pPr>
      <w:r>
        <w:rPr>
          <w:rFonts w:hint="eastAsia"/>
          <w:sz w:val="24"/>
          <w:szCs w:val="22"/>
        </w:rPr>
        <w:t>（8）</w:t>
      </w:r>
      <w:r>
        <w:rPr>
          <w:sz w:val="24"/>
          <w:szCs w:val="22"/>
        </w:rPr>
        <w:t>建立健全工程进度控制的组织机构，配备进度控制监理工程师负责进度控制工作。</w:t>
      </w:r>
    </w:p>
    <w:p>
      <w:pPr>
        <w:tabs>
          <w:tab w:val="left" w:pos="7665"/>
        </w:tabs>
        <w:spacing w:line="360" w:lineRule="auto"/>
        <w:ind w:firstLine="480" w:firstLineChars="200"/>
        <w:rPr>
          <w:sz w:val="24"/>
          <w:szCs w:val="22"/>
        </w:rPr>
      </w:pPr>
      <w:r>
        <w:rPr>
          <w:rFonts w:hint="eastAsia"/>
          <w:sz w:val="24"/>
          <w:szCs w:val="22"/>
        </w:rPr>
        <w:t>（9）</w:t>
      </w:r>
      <w:r>
        <w:rPr>
          <w:sz w:val="24"/>
          <w:szCs w:val="22"/>
        </w:rPr>
        <w:t>定期向业主单位报告工程项目施工进度控制情况，施工进度统计报表。</w:t>
      </w:r>
      <w:r>
        <w:rPr>
          <w:sz w:val="24"/>
          <w:szCs w:val="22"/>
        </w:rPr>
        <w:br w:type="textWrapping"/>
      </w:r>
      <w:r>
        <w:rPr>
          <w:sz w:val="24"/>
          <w:szCs w:val="22"/>
        </w:rPr>
        <w:t xml:space="preserve"> </w:t>
      </w:r>
      <w:r>
        <w:rPr>
          <w:rFonts w:hint="eastAsia"/>
          <w:sz w:val="24"/>
          <w:szCs w:val="22"/>
        </w:rPr>
        <w:t xml:space="preserve">   </w:t>
      </w:r>
      <w:r>
        <w:rPr>
          <w:sz w:val="24"/>
          <w:szCs w:val="22"/>
        </w:rPr>
        <w:t>7</w:t>
      </w:r>
      <w:r>
        <w:rPr>
          <w:rFonts w:hint="eastAsia"/>
          <w:sz w:val="24"/>
          <w:szCs w:val="22"/>
        </w:rPr>
        <w:t>、</w:t>
      </w:r>
      <w:r>
        <w:rPr>
          <w:sz w:val="24"/>
          <w:szCs w:val="22"/>
        </w:rPr>
        <w:t>施工质量控制对工程质量进行程序化的、量化的全过程全面的控制。主要内容及要求如下:</w:t>
      </w:r>
      <w:r>
        <w:rPr>
          <w:sz w:val="24"/>
          <w:szCs w:val="22"/>
        </w:rPr>
        <w:br w:type="textWrapping"/>
      </w:r>
      <w:r>
        <w:rPr>
          <w:rFonts w:hint="eastAsia"/>
          <w:sz w:val="24"/>
          <w:szCs w:val="22"/>
        </w:rPr>
        <w:t xml:space="preserve">    （1）</w:t>
      </w:r>
      <w:r>
        <w:rPr>
          <w:sz w:val="24"/>
          <w:szCs w:val="22"/>
        </w:rPr>
        <w:t>对监理工程项目的构成进行划分，并按施工程序明确质量控制工作流程，分析和确定质量控制重点及对其他采取的监理措施。制定质量控制的各项实施细则、规定及其他管理制度。</w:t>
      </w:r>
      <w:r>
        <w:rPr>
          <w:sz w:val="24"/>
          <w:szCs w:val="22"/>
        </w:rPr>
        <w:br w:type="textWrapping"/>
      </w:r>
      <w:r>
        <w:rPr>
          <w:rFonts w:hint="eastAsia"/>
          <w:sz w:val="24"/>
          <w:szCs w:val="22"/>
        </w:rPr>
        <w:t xml:space="preserve">    （2）</w:t>
      </w:r>
      <w:r>
        <w:rPr>
          <w:sz w:val="24"/>
          <w:szCs w:val="22"/>
        </w:rPr>
        <w:t>核实并签发施工必须遵循的设计要求、采用的技术标准、技术规程规范等质量文件；审批场工单位拟实施本工程的施工工艺方案及主要方法及工艺；审核签发施工图纸。</w:t>
      </w:r>
    </w:p>
    <w:p>
      <w:pPr>
        <w:tabs>
          <w:tab w:val="left" w:pos="7665"/>
        </w:tabs>
        <w:spacing w:line="360" w:lineRule="auto"/>
        <w:ind w:firstLine="480" w:firstLineChars="200"/>
        <w:rPr>
          <w:sz w:val="24"/>
          <w:szCs w:val="22"/>
        </w:rPr>
      </w:pPr>
      <w:r>
        <w:rPr>
          <w:rFonts w:hint="eastAsia"/>
          <w:sz w:val="24"/>
          <w:szCs w:val="22"/>
        </w:rPr>
        <w:t>（3）</w:t>
      </w:r>
      <w:r>
        <w:rPr>
          <w:sz w:val="24"/>
          <w:szCs w:val="22"/>
        </w:rPr>
        <w:t>检查督促施工单位建立健全质量保证体系，并能切实发挥作用，督促施工单位进行全面质量管理工作。</w:t>
      </w:r>
    </w:p>
    <w:p>
      <w:pPr>
        <w:tabs>
          <w:tab w:val="left" w:pos="7665"/>
        </w:tabs>
        <w:spacing w:line="360" w:lineRule="auto"/>
        <w:ind w:firstLine="480" w:firstLineChars="200"/>
        <w:rPr>
          <w:sz w:val="24"/>
          <w:szCs w:val="22"/>
        </w:rPr>
      </w:pPr>
      <w:r>
        <w:rPr>
          <w:rFonts w:hint="eastAsia"/>
          <w:sz w:val="24"/>
          <w:szCs w:val="22"/>
        </w:rPr>
        <w:t>（4）</w:t>
      </w:r>
      <w:r>
        <w:rPr>
          <w:sz w:val="24"/>
          <w:szCs w:val="22"/>
        </w:rPr>
        <w:t>审查批准施工单位按合同规定进行的村料级配和配合比试验、工艺试检及确定各项施工参数的试验；审查批准经各项试验提出的施工质量控制招施；审查批准有关施工质量的各项试验检测成果，并进行一定数量的抽样检测试验。</w:t>
      </w:r>
      <w:r>
        <w:rPr>
          <w:sz w:val="24"/>
          <w:szCs w:val="22"/>
        </w:rPr>
        <w:br w:type="textWrapping"/>
      </w:r>
      <w:r>
        <w:rPr>
          <w:rFonts w:hint="eastAsia"/>
          <w:sz w:val="24"/>
          <w:szCs w:val="22"/>
        </w:rPr>
        <w:t xml:space="preserve">   （5）</w:t>
      </w:r>
      <w:r>
        <w:rPr>
          <w:sz w:val="24"/>
          <w:szCs w:val="22"/>
        </w:rPr>
        <w:t>审查进场工程材料的质量证明文件及施工单位按有关规定进行的试验检测结果。监理单位也应进行一定数量的抽样检测试验。不符合合同及国家有关规定的材料及其半成品不得投入施工，且应限期清理出场。</w:t>
      </w:r>
      <w:r>
        <w:rPr>
          <w:sz w:val="24"/>
          <w:szCs w:val="22"/>
        </w:rPr>
        <w:br w:type="textWrapping"/>
      </w:r>
      <w:r>
        <w:rPr>
          <w:rFonts w:hint="eastAsia"/>
          <w:sz w:val="24"/>
          <w:szCs w:val="22"/>
        </w:rPr>
        <w:t xml:space="preserve">   （6）</w:t>
      </w:r>
      <w:r>
        <w:rPr>
          <w:sz w:val="24"/>
          <w:szCs w:val="22"/>
        </w:rPr>
        <w:t>检查施工前的其他各项准备工作是否完备</w:t>
      </w:r>
      <w:r>
        <w:rPr>
          <w:rFonts w:hint="eastAsia"/>
          <w:sz w:val="24"/>
          <w:szCs w:val="22"/>
        </w:rPr>
        <w:t>（</w:t>
      </w:r>
      <w:r>
        <w:rPr>
          <w:sz w:val="24"/>
          <w:szCs w:val="22"/>
        </w:rPr>
        <w:t>如图纸供应、水电供应、道路、场地、施工组织、施工机械以及其他环境影响因素</w:t>
      </w:r>
      <w:r>
        <w:rPr>
          <w:rFonts w:hint="eastAsia"/>
          <w:sz w:val="24"/>
          <w:szCs w:val="22"/>
        </w:rPr>
        <w:t>）</w:t>
      </w:r>
      <w:r>
        <w:rPr>
          <w:sz w:val="24"/>
          <w:szCs w:val="22"/>
        </w:rPr>
        <w:t>，尽力避免可能影响施工质量的问题发生。</w:t>
      </w:r>
      <w:r>
        <w:rPr>
          <w:sz w:val="24"/>
          <w:szCs w:val="22"/>
        </w:rPr>
        <w:br w:type="textWrapping"/>
      </w:r>
      <w:r>
        <w:rPr>
          <w:rFonts w:hint="eastAsia"/>
          <w:sz w:val="24"/>
          <w:szCs w:val="22"/>
        </w:rPr>
        <w:t xml:space="preserve">   （7）</w:t>
      </w:r>
      <w:r>
        <w:rPr>
          <w:sz w:val="24"/>
          <w:szCs w:val="22"/>
        </w:rPr>
        <w:t>对施工质量进行全过程全面的监督管理，在加强现场管理工作的前提下对重要部位和关键工序应采取“旁站监理”的方式</w:t>
      </w:r>
      <w:r>
        <w:rPr>
          <w:rFonts w:hint="eastAsia"/>
          <w:sz w:val="24"/>
          <w:szCs w:val="22"/>
        </w:rPr>
        <w:t>（</w:t>
      </w:r>
      <w:r>
        <w:rPr>
          <w:sz w:val="24"/>
          <w:szCs w:val="22"/>
        </w:rPr>
        <w:t>或24小时值班制度</w:t>
      </w:r>
      <w:r>
        <w:rPr>
          <w:rFonts w:hint="eastAsia"/>
          <w:sz w:val="24"/>
          <w:szCs w:val="22"/>
        </w:rPr>
        <w:t>）</w:t>
      </w:r>
      <w:r>
        <w:rPr>
          <w:sz w:val="24"/>
          <w:szCs w:val="22"/>
        </w:rPr>
        <w:t>，对发现的可能影响施工质量的问题及时指令施工单位采取措施解决，必要时发出停工、返工的指令。</w:t>
      </w:r>
      <w:r>
        <w:rPr>
          <w:sz w:val="24"/>
          <w:szCs w:val="22"/>
        </w:rPr>
        <w:br w:type="textWrapping"/>
      </w:r>
      <w:r>
        <w:rPr>
          <w:rFonts w:hint="eastAsia"/>
          <w:sz w:val="24"/>
          <w:szCs w:val="22"/>
        </w:rPr>
        <w:t xml:space="preserve">   （8）</w:t>
      </w:r>
      <w:r>
        <w:rPr>
          <w:sz w:val="24"/>
          <w:szCs w:val="22"/>
        </w:rPr>
        <w:t>建立监理单位的试验、检测工作体系，按照规定的频率独立开展监理的使用和检测工作。充分运用监理的质量检查签证的控制手段，对工程项目及时进行还层次的还项的</w:t>
      </w:r>
      <w:r>
        <w:rPr>
          <w:rFonts w:hint="eastAsia"/>
          <w:sz w:val="24"/>
          <w:szCs w:val="22"/>
        </w:rPr>
        <w:t>（</w:t>
      </w:r>
      <w:r>
        <w:rPr>
          <w:sz w:val="24"/>
          <w:szCs w:val="22"/>
        </w:rPr>
        <w:t>按单元工程、分部分项工程、单位工程等区分</w:t>
      </w:r>
      <w:r>
        <w:rPr>
          <w:rFonts w:hint="eastAsia"/>
          <w:sz w:val="24"/>
          <w:szCs w:val="22"/>
        </w:rPr>
        <w:t>）</w:t>
      </w:r>
      <w:r>
        <w:rPr>
          <w:sz w:val="24"/>
          <w:szCs w:val="22"/>
        </w:rPr>
        <w:t>施工质量认证和质量评定工作。及时组织进行隐蔽工程、重要部位、重要工序的质量检查验收和签证工作以及分部分项工程的检查验收工作。</w:t>
      </w:r>
      <w:r>
        <w:rPr>
          <w:sz w:val="24"/>
          <w:szCs w:val="22"/>
        </w:rPr>
        <w:br w:type="textWrapping"/>
      </w:r>
      <w:r>
        <w:rPr>
          <w:rFonts w:hint="eastAsia"/>
          <w:sz w:val="24"/>
          <w:szCs w:val="22"/>
        </w:rPr>
        <w:t xml:space="preserve">   （9）</w:t>
      </w:r>
      <w:r>
        <w:rPr>
          <w:sz w:val="24"/>
          <w:szCs w:val="22"/>
        </w:rPr>
        <w:t>协助业主单位组织进行重要阶段验收、中间验收、单位工程验收、以及合同项目竣</w:t>
      </w:r>
      <w:r>
        <w:rPr>
          <w:rFonts w:hint="eastAsia"/>
          <w:sz w:val="24"/>
          <w:szCs w:val="22"/>
        </w:rPr>
        <w:t>（</w:t>
      </w:r>
      <w:r>
        <w:rPr>
          <w:sz w:val="24"/>
          <w:szCs w:val="22"/>
        </w:rPr>
        <w:t>完</w:t>
      </w:r>
      <w:r>
        <w:rPr>
          <w:rFonts w:hint="eastAsia"/>
          <w:sz w:val="24"/>
          <w:szCs w:val="22"/>
        </w:rPr>
        <w:t>）</w:t>
      </w:r>
      <w:r>
        <w:rPr>
          <w:sz w:val="24"/>
          <w:szCs w:val="22"/>
        </w:rPr>
        <w:t>工验收，监理单位应做好验收前的各项具体准备工作。</w:t>
      </w:r>
    </w:p>
    <w:p>
      <w:pPr>
        <w:tabs>
          <w:tab w:val="left" w:pos="7665"/>
        </w:tabs>
        <w:spacing w:line="360" w:lineRule="auto"/>
        <w:ind w:firstLine="480" w:firstLineChars="200"/>
        <w:rPr>
          <w:sz w:val="24"/>
          <w:szCs w:val="22"/>
        </w:rPr>
      </w:pPr>
      <w:r>
        <w:rPr>
          <w:rFonts w:hint="eastAsia"/>
          <w:sz w:val="24"/>
          <w:szCs w:val="22"/>
        </w:rPr>
        <w:t>（10）</w:t>
      </w:r>
      <w:r>
        <w:rPr>
          <w:sz w:val="24"/>
          <w:szCs w:val="22"/>
        </w:rPr>
        <w:t>审查施工单位规交的质量事故报告；对质量事故进行调查、提出处理意见，并监督质量事故的处理。</w:t>
      </w:r>
    </w:p>
    <w:p>
      <w:pPr>
        <w:tabs>
          <w:tab w:val="left" w:pos="7665"/>
        </w:tabs>
        <w:spacing w:line="360" w:lineRule="auto"/>
        <w:ind w:firstLine="480" w:firstLineChars="200"/>
        <w:rPr>
          <w:sz w:val="24"/>
          <w:szCs w:val="22"/>
        </w:rPr>
      </w:pPr>
      <w:r>
        <w:rPr>
          <w:rFonts w:hint="eastAsia"/>
          <w:sz w:val="24"/>
          <w:szCs w:val="22"/>
        </w:rPr>
        <w:t>（11）</w:t>
      </w:r>
      <w:r>
        <w:rPr>
          <w:sz w:val="24"/>
          <w:szCs w:val="22"/>
        </w:rPr>
        <w:t>监理单位必项建立自身的质量监控体系，配备监理工程师负责质量控制工作。</w:t>
      </w:r>
    </w:p>
    <w:p>
      <w:pPr>
        <w:tabs>
          <w:tab w:val="left" w:pos="7665"/>
        </w:tabs>
        <w:spacing w:line="360" w:lineRule="auto"/>
        <w:ind w:firstLine="480" w:firstLineChars="200"/>
        <w:rPr>
          <w:sz w:val="24"/>
          <w:szCs w:val="22"/>
        </w:rPr>
      </w:pPr>
      <w:r>
        <w:rPr>
          <w:rFonts w:hint="eastAsia"/>
          <w:sz w:val="24"/>
          <w:szCs w:val="22"/>
        </w:rPr>
        <w:t>（12）</w:t>
      </w:r>
      <w:r>
        <w:rPr>
          <w:sz w:val="24"/>
          <w:szCs w:val="22"/>
        </w:rPr>
        <w:t>对工程质量进行经常性的分析，并定期提出工程质量报告和校规定格式编制工程质量统计报表</w:t>
      </w:r>
      <w:r>
        <w:rPr>
          <w:rFonts w:hint="eastAsia"/>
          <w:sz w:val="24"/>
          <w:szCs w:val="22"/>
        </w:rPr>
        <w:t>（</w:t>
      </w:r>
      <w:r>
        <w:rPr>
          <w:sz w:val="24"/>
          <w:szCs w:val="22"/>
        </w:rPr>
        <w:t>年、季、用</w:t>
      </w:r>
      <w:r>
        <w:rPr>
          <w:rFonts w:hint="eastAsia"/>
          <w:sz w:val="24"/>
          <w:szCs w:val="22"/>
        </w:rPr>
        <w:t>）</w:t>
      </w:r>
      <w:r>
        <w:rPr>
          <w:sz w:val="24"/>
          <w:szCs w:val="22"/>
        </w:rPr>
        <w:t>报业主单位。</w:t>
      </w:r>
    </w:p>
    <w:p>
      <w:pPr>
        <w:tabs>
          <w:tab w:val="left" w:pos="7665"/>
        </w:tabs>
        <w:spacing w:line="360" w:lineRule="auto"/>
        <w:ind w:firstLine="480" w:firstLineChars="200"/>
        <w:rPr>
          <w:sz w:val="24"/>
          <w:szCs w:val="22"/>
        </w:rPr>
      </w:pPr>
      <w:r>
        <w:rPr>
          <w:sz w:val="24"/>
          <w:szCs w:val="22"/>
        </w:rPr>
        <w:t>8</w:t>
      </w:r>
      <w:r>
        <w:rPr>
          <w:rFonts w:hint="eastAsia"/>
          <w:sz w:val="24"/>
          <w:szCs w:val="22"/>
        </w:rPr>
        <w:t>、</w:t>
      </w:r>
      <w:r>
        <w:rPr>
          <w:sz w:val="24"/>
          <w:szCs w:val="22"/>
        </w:rPr>
        <w:t>安全施工监督</w:t>
      </w:r>
    </w:p>
    <w:p>
      <w:pPr>
        <w:tabs>
          <w:tab w:val="left" w:pos="7665"/>
        </w:tabs>
        <w:spacing w:line="360" w:lineRule="auto"/>
        <w:ind w:firstLine="480" w:firstLineChars="200"/>
        <w:rPr>
          <w:sz w:val="24"/>
          <w:szCs w:val="22"/>
        </w:rPr>
      </w:pPr>
      <w:r>
        <w:rPr>
          <w:rFonts w:hint="eastAsia"/>
          <w:sz w:val="24"/>
          <w:szCs w:val="22"/>
        </w:rPr>
        <w:t>（1）</w:t>
      </w:r>
      <w:r>
        <w:rPr>
          <w:sz w:val="24"/>
          <w:szCs w:val="22"/>
        </w:rPr>
        <w:t>检查督促施工单位建立健全安全施工监督安全管理工作体系和安全管理制度；督促检查施工单位认真执行国家及有关部门颁发的安全生产法规和规定。</w:t>
      </w:r>
      <w:r>
        <w:rPr>
          <w:sz w:val="24"/>
          <w:szCs w:val="22"/>
        </w:rPr>
        <w:br w:type="textWrapping"/>
      </w:r>
      <w:r>
        <w:rPr>
          <w:rFonts w:hint="eastAsia"/>
          <w:sz w:val="24"/>
          <w:szCs w:val="22"/>
        </w:rPr>
        <w:t xml:space="preserve">    （2）</w:t>
      </w:r>
      <w:r>
        <w:rPr>
          <w:sz w:val="24"/>
          <w:szCs w:val="22"/>
        </w:rPr>
        <w:t>审查批准施工单位对工程施工中的重大安全问题制定的安全技术措施和防护措施。</w:t>
      </w:r>
      <w:r>
        <w:rPr>
          <w:sz w:val="24"/>
          <w:szCs w:val="22"/>
        </w:rPr>
        <w:br w:type="textWrapping"/>
      </w:r>
      <w:r>
        <w:rPr>
          <w:rFonts w:hint="eastAsia"/>
          <w:sz w:val="24"/>
          <w:szCs w:val="22"/>
        </w:rPr>
        <w:t xml:space="preserve">    （3）</w:t>
      </w:r>
      <w:r>
        <w:rPr>
          <w:sz w:val="24"/>
          <w:szCs w:val="22"/>
        </w:rPr>
        <w:t>对施工生产及安全设施进行经常性的检查监督，对违反安全生产规定的施工及时指令整改。</w:t>
      </w:r>
    </w:p>
    <w:p>
      <w:pPr>
        <w:tabs>
          <w:tab w:val="left" w:pos="7665"/>
        </w:tabs>
        <w:spacing w:line="360" w:lineRule="auto"/>
        <w:ind w:left="479" w:leftChars="228"/>
        <w:rPr>
          <w:sz w:val="24"/>
          <w:szCs w:val="22"/>
        </w:rPr>
      </w:pPr>
      <w:r>
        <w:rPr>
          <w:rFonts w:hint="eastAsia"/>
          <w:sz w:val="24"/>
          <w:szCs w:val="22"/>
        </w:rPr>
        <w:t>（4）</w:t>
      </w:r>
      <w:r>
        <w:rPr>
          <w:sz w:val="24"/>
          <w:szCs w:val="22"/>
        </w:rPr>
        <w:t>按照业主单位的统一布署检查施工单位的工程防汛措施并监督实施</w:t>
      </w:r>
      <w:r>
        <w:rPr>
          <w:rFonts w:hint="eastAsia"/>
          <w:sz w:val="24"/>
          <w:szCs w:val="22"/>
        </w:rPr>
        <w:t>。</w:t>
      </w:r>
    </w:p>
    <w:p>
      <w:pPr>
        <w:tabs>
          <w:tab w:val="left" w:pos="7665"/>
        </w:tabs>
        <w:spacing w:line="360" w:lineRule="auto"/>
        <w:ind w:firstLine="480" w:firstLineChars="200"/>
        <w:rPr>
          <w:rFonts w:hint="eastAsia"/>
          <w:sz w:val="24"/>
          <w:szCs w:val="22"/>
        </w:rPr>
      </w:pPr>
      <w:r>
        <w:rPr>
          <w:rFonts w:hint="eastAsia"/>
          <w:sz w:val="24"/>
          <w:szCs w:val="22"/>
        </w:rPr>
        <w:t>（5）</w:t>
      </w:r>
      <w:r>
        <w:rPr>
          <w:sz w:val="24"/>
          <w:szCs w:val="22"/>
        </w:rPr>
        <w:t>检查施工单位在劳动保护及环境保护方面是否符合合同规定和国家标准。</w:t>
      </w:r>
      <w:r>
        <w:rPr>
          <w:sz w:val="24"/>
          <w:szCs w:val="22"/>
        </w:rPr>
        <w:br w:type="textWrapping"/>
      </w:r>
      <w:r>
        <w:rPr>
          <w:rFonts w:hint="eastAsia"/>
          <w:sz w:val="24"/>
          <w:szCs w:val="22"/>
        </w:rPr>
        <w:t xml:space="preserve"> </w:t>
      </w:r>
      <w:r>
        <w:rPr>
          <w:rFonts w:hint="eastAsia"/>
          <w:sz w:val="24"/>
          <w:szCs w:val="22"/>
          <w:lang w:val="en-US" w:eastAsia="zh-CN"/>
        </w:rPr>
        <w:t xml:space="preserve">   </w:t>
      </w:r>
      <w:r>
        <w:rPr>
          <w:rFonts w:hint="eastAsia"/>
          <w:sz w:val="24"/>
          <w:szCs w:val="22"/>
        </w:rPr>
        <w:t>（6）参加对安全事故进行的调查分析、审查施工单位的安全事故报告及安全报表、监督施工单位对安全事故的处理。</w:t>
      </w:r>
    </w:p>
    <w:p>
      <w:pPr>
        <w:tabs>
          <w:tab w:val="left" w:pos="7665"/>
        </w:tabs>
        <w:spacing w:line="360" w:lineRule="auto"/>
        <w:ind w:firstLine="480" w:firstLineChars="200"/>
        <w:rPr>
          <w:rFonts w:hint="eastAsia"/>
          <w:sz w:val="24"/>
          <w:szCs w:val="22"/>
        </w:rPr>
      </w:pPr>
      <w:r>
        <w:rPr>
          <w:rFonts w:hint="eastAsia"/>
          <w:sz w:val="24"/>
          <w:szCs w:val="22"/>
        </w:rPr>
        <w:t>（7）定期向业主单位报告安全生产情况，并按规定编制监理工程项目的安全统计报表。对重大安全事故的处理必须及时向业主单位报告。</w:t>
      </w:r>
    </w:p>
    <w:p>
      <w:pPr>
        <w:tabs>
          <w:tab w:val="left" w:pos="7665"/>
        </w:tabs>
        <w:spacing w:line="360" w:lineRule="auto"/>
        <w:ind w:firstLine="480" w:firstLineChars="200"/>
        <w:rPr>
          <w:sz w:val="24"/>
          <w:szCs w:val="22"/>
        </w:rPr>
      </w:pPr>
      <w:r>
        <w:rPr>
          <w:sz w:val="24"/>
          <w:szCs w:val="22"/>
        </w:rPr>
        <w:t xml:space="preserve"> 9</w:t>
      </w:r>
      <w:r>
        <w:rPr>
          <w:rFonts w:hint="eastAsia"/>
          <w:sz w:val="24"/>
          <w:szCs w:val="22"/>
        </w:rPr>
        <w:t>、</w:t>
      </w:r>
      <w:r>
        <w:rPr>
          <w:sz w:val="24"/>
          <w:szCs w:val="22"/>
        </w:rPr>
        <w:t>定期的和不定期的及时向业主单位报告工程实施进展情况及监理工作情况。编制有关工程进度、质量、安全、造价等方面的专题报告。</w:t>
      </w:r>
    </w:p>
    <w:p>
      <w:pPr>
        <w:tabs>
          <w:tab w:val="left" w:pos="7665"/>
        </w:tabs>
        <w:spacing w:line="360" w:lineRule="auto"/>
        <w:ind w:firstLine="480" w:firstLineChars="200"/>
        <w:rPr>
          <w:sz w:val="24"/>
          <w:szCs w:val="22"/>
        </w:rPr>
      </w:pPr>
      <w:r>
        <w:rPr>
          <w:sz w:val="24"/>
          <w:szCs w:val="22"/>
        </w:rPr>
        <w:t xml:space="preserve"> 10</w:t>
      </w:r>
      <w:r>
        <w:rPr>
          <w:rFonts w:hint="eastAsia"/>
          <w:sz w:val="24"/>
          <w:szCs w:val="22"/>
        </w:rPr>
        <w:t>、</w:t>
      </w:r>
      <w:r>
        <w:rPr>
          <w:sz w:val="24"/>
          <w:szCs w:val="22"/>
        </w:rPr>
        <w:t>编写监理工程项目的“大事记”、“监理总结报告”。</w:t>
      </w:r>
    </w:p>
    <w:p>
      <w:pPr>
        <w:tabs>
          <w:tab w:val="left" w:pos="7665"/>
        </w:tabs>
        <w:spacing w:line="360" w:lineRule="auto"/>
        <w:ind w:firstLine="240" w:firstLineChars="100"/>
        <w:rPr>
          <w:sz w:val="24"/>
          <w:szCs w:val="22"/>
        </w:rPr>
      </w:pPr>
      <w:r>
        <w:rPr>
          <w:rFonts w:hint="eastAsia"/>
          <w:sz w:val="24"/>
          <w:szCs w:val="22"/>
        </w:rPr>
        <w:t>③</w:t>
      </w:r>
      <w:r>
        <w:rPr>
          <w:sz w:val="24"/>
          <w:szCs w:val="22"/>
        </w:rPr>
        <w:t>工程验收及违约处理方面</w:t>
      </w:r>
    </w:p>
    <w:p>
      <w:pPr>
        <w:tabs>
          <w:tab w:val="left" w:pos="7665"/>
        </w:tabs>
        <w:spacing w:line="360" w:lineRule="auto"/>
        <w:ind w:firstLine="480" w:firstLineChars="200"/>
        <w:rPr>
          <w:sz w:val="24"/>
          <w:szCs w:val="22"/>
        </w:rPr>
      </w:pPr>
      <w:r>
        <w:rPr>
          <w:sz w:val="24"/>
          <w:szCs w:val="22"/>
        </w:rPr>
        <w:t>1.签发中间交工证书;</w:t>
      </w:r>
    </w:p>
    <w:p>
      <w:pPr>
        <w:tabs>
          <w:tab w:val="left" w:pos="7665"/>
        </w:tabs>
        <w:spacing w:line="360" w:lineRule="auto"/>
        <w:ind w:firstLine="480" w:firstLineChars="200"/>
        <w:rPr>
          <w:sz w:val="24"/>
          <w:szCs w:val="22"/>
        </w:rPr>
      </w:pPr>
      <w:r>
        <w:rPr>
          <w:sz w:val="24"/>
          <w:szCs w:val="22"/>
        </w:rPr>
        <w:t>2.对</w:t>
      </w:r>
      <w:r>
        <w:rPr>
          <w:rFonts w:hint="eastAsia"/>
          <w:sz w:val="24"/>
          <w:szCs w:val="22"/>
          <w:lang w:val="en-US" w:eastAsia="zh-CN"/>
        </w:rPr>
        <w:t>已</w:t>
      </w:r>
      <w:r>
        <w:rPr>
          <w:sz w:val="24"/>
          <w:szCs w:val="22"/>
        </w:rPr>
        <w:t>完成工程进行准确的计量；</w:t>
      </w:r>
    </w:p>
    <w:p>
      <w:pPr>
        <w:tabs>
          <w:tab w:val="left" w:pos="7665"/>
        </w:tabs>
        <w:spacing w:line="360" w:lineRule="auto"/>
        <w:ind w:firstLine="480" w:firstLineChars="200"/>
        <w:rPr>
          <w:sz w:val="24"/>
          <w:szCs w:val="22"/>
        </w:rPr>
      </w:pPr>
      <w:r>
        <w:rPr>
          <w:sz w:val="24"/>
          <w:szCs w:val="22"/>
        </w:rPr>
        <w:t>3.签发中期支付凭证；</w:t>
      </w:r>
    </w:p>
    <w:p>
      <w:pPr>
        <w:tabs>
          <w:tab w:val="left" w:pos="7665"/>
        </w:tabs>
        <w:spacing w:line="360" w:lineRule="auto"/>
        <w:ind w:firstLine="480" w:firstLineChars="200"/>
        <w:rPr>
          <w:sz w:val="24"/>
          <w:szCs w:val="22"/>
        </w:rPr>
      </w:pPr>
      <w:r>
        <w:rPr>
          <w:sz w:val="24"/>
          <w:szCs w:val="22"/>
        </w:rPr>
        <w:t>4.受理合同事宜，根据合同规定进行评估和处理；</w:t>
      </w:r>
    </w:p>
    <w:p>
      <w:pPr>
        <w:tabs>
          <w:tab w:val="left" w:pos="7665"/>
        </w:tabs>
        <w:spacing w:line="360" w:lineRule="auto"/>
        <w:ind w:firstLine="480" w:firstLineChars="200"/>
        <w:rPr>
          <w:sz w:val="24"/>
          <w:szCs w:val="22"/>
        </w:rPr>
      </w:pPr>
      <w:r>
        <w:rPr>
          <w:sz w:val="24"/>
          <w:szCs w:val="22"/>
        </w:rPr>
        <w:t>5.根据合同规定处理违约事件，协调争端，在仲裁过程中作证；</w:t>
      </w:r>
    </w:p>
    <w:p>
      <w:pPr>
        <w:tabs>
          <w:tab w:val="left" w:pos="7665"/>
        </w:tabs>
        <w:spacing w:line="360" w:lineRule="auto"/>
        <w:ind w:firstLine="480" w:firstLineChars="200"/>
        <w:rPr>
          <w:sz w:val="24"/>
          <w:szCs w:val="22"/>
        </w:rPr>
      </w:pPr>
      <w:r>
        <w:rPr>
          <w:sz w:val="24"/>
          <w:szCs w:val="22"/>
        </w:rPr>
        <w:t>6.对成交供应商的交工申请进行评估，组织对报交工功能工程的检查和验收；</w:t>
      </w:r>
    </w:p>
    <w:p>
      <w:pPr>
        <w:tabs>
          <w:tab w:val="left" w:pos="7665"/>
        </w:tabs>
        <w:spacing w:line="360" w:lineRule="auto"/>
        <w:ind w:firstLine="480" w:firstLineChars="200"/>
        <w:rPr>
          <w:sz w:val="24"/>
          <w:szCs w:val="22"/>
        </w:rPr>
      </w:pPr>
      <w:r>
        <w:rPr>
          <w:sz w:val="24"/>
          <w:szCs w:val="22"/>
        </w:rPr>
        <w:t>7.签发竣（完）工证书；</w:t>
      </w:r>
    </w:p>
    <w:p>
      <w:pPr>
        <w:tabs>
          <w:tab w:val="left" w:pos="7665"/>
        </w:tabs>
        <w:spacing w:line="360" w:lineRule="auto"/>
        <w:ind w:firstLine="480" w:firstLineChars="200"/>
        <w:rPr>
          <w:sz w:val="24"/>
          <w:szCs w:val="22"/>
        </w:rPr>
      </w:pPr>
      <w:r>
        <w:rPr>
          <w:sz w:val="24"/>
          <w:szCs w:val="22"/>
        </w:rPr>
        <w:t>8.督促、检查成交供应商按工程管理部门和业主的要求编制施工文件:</w:t>
      </w:r>
    </w:p>
    <w:p>
      <w:pPr>
        <w:tabs>
          <w:tab w:val="left" w:pos="7665"/>
        </w:tabs>
        <w:spacing w:line="360" w:lineRule="auto"/>
        <w:ind w:firstLine="480" w:firstLineChars="200"/>
        <w:rPr>
          <w:sz w:val="24"/>
          <w:szCs w:val="22"/>
        </w:rPr>
      </w:pPr>
      <w:r>
        <w:rPr>
          <w:sz w:val="24"/>
          <w:szCs w:val="22"/>
        </w:rPr>
        <w:t>9.编制监理方面的竣（完）工文件；</w:t>
      </w:r>
    </w:p>
    <w:p>
      <w:pPr>
        <w:tabs>
          <w:tab w:val="left" w:pos="7665"/>
        </w:tabs>
        <w:spacing w:line="360" w:lineRule="auto"/>
        <w:ind w:firstLine="480" w:firstLineChars="200"/>
        <w:rPr>
          <w:sz w:val="24"/>
          <w:szCs w:val="22"/>
        </w:rPr>
      </w:pPr>
      <w:r>
        <w:rPr>
          <w:sz w:val="24"/>
          <w:szCs w:val="22"/>
        </w:rPr>
        <w:t>10.监督成交供应商认真执行工程保修期的工作计划检查和验收剩余工程，对已交工工程中出现的缺陷、病害调查其原因并确定相应的责任；</w:t>
      </w:r>
    </w:p>
    <w:p>
      <w:pPr>
        <w:tabs>
          <w:tab w:val="left" w:pos="7665"/>
        </w:tabs>
        <w:spacing w:line="360" w:lineRule="auto"/>
        <w:ind w:firstLine="480" w:firstLineChars="200"/>
        <w:rPr>
          <w:sz w:val="24"/>
          <w:szCs w:val="22"/>
        </w:rPr>
      </w:pPr>
      <w:r>
        <w:rPr>
          <w:sz w:val="24"/>
          <w:szCs w:val="22"/>
        </w:rPr>
        <w:t>11.签发工程缺陷责任终止证书；</w:t>
      </w:r>
    </w:p>
    <w:p>
      <w:pPr>
        <w:tabs>
          <w:tab w:val="left" w:pos="7665"/>
        </w:tabs>
        <w:spacing w:line="360" w:lineRule="auto"/>
        <w:ind w:firstLine="480" w:firstLineChars="200"/>
        <w:rPr>
          <w:sz w:val="24"/>
          <w:szCs w:val="22"/>
        </w:rPr>
      </w:pPr>
      <w:r>
        <w:rPr>
          <w:sz w:val="24"/>
          <w:szCs w:val="22"/>
        </w:rPr>
        <w:t>12.签发最终支付证书；</w:t>
      </w:r>
    </w:p>
    <w:p>
      <w:pPr>
        <w:tabs>
          <w:tab w:val="left" w:pos="7665"/>
        </w:tabs>
        <w:spacing w:line="360" w:lineRule="auto"/>
        <w:ind w:firstLine="480" w:firstLineChars="200"/>
        <w:rPr>
          <w:sz w:val="24"/>
          <w:szCs w:val="22"/>
        </w:rPr>
      </w:pPr>
      <w:r>
        <w:rPr>
          <w:sz w:val="24"/>
          <w:szCs w:val="22"/>
        </w:rPr>
        <w:t>13.配合业主的竣（完）工验收和工程移交工作；</w:t>
      </w:r>
    </w:p>
    <w:p>
      <w:pPr>
        <w:tabs>
          <w:tab w:val="left" w:pos="7665"/>
        </w:tabs>
        <w:spacing w:line="360" w:lineRule="auto"/>
        <w:ind w:firstLine="240" w:firstLineChars="100"/>
        <w:rPr>
          <w:sz w:val="24"/>
          <w:szCs w:val="22"/>
        </w:rPr>
      </w:pPr>
      <w:r>
        <w:rPr>
          <w:rFonts w:hint="eastAsia"/>
          <w:sz w:val="24"/>
          <w:szCs w:val="22"/>
        </w:rPr>
        <w:t>④</w:t>
      </w:r>
      <w:r>
        <w:rPr>
          <w:sz w:val="24"/>
          <w:szCs w:val="22"/>
        </w:rPr>
        <w:t>与业主的质量、安全管理部门配合工作方面</w:t>
      </w:r>
    </w:p>
    <w:p>
      <w:pPr>
        <w:tabs>
          <w:tab w:val="left" w:pos="7665"/>
        </w:tabs>
        <w:spacing w:line="360" w:lineRule="auto"/>
        <w:ind w:firstLine="480" w:firstLineChars="200"/>
        <w:rPr>
          <w:sz w:val="24"/>
          <w:szCs w:val="22"/>
        </w:rPr>
      </w:pPr>
      <w:r>
        <w:rPr>
          <w:sz w:val="24"/>
          <w:szCs w:val="22"/>
        </w:rPr>
        <w:t>1.按照业主的质量、安全管理部门的规定和要求。定明或不定期向业主的质量、安全管理部门提供有关工程资料和文件；</w:t>
      </w:r>
    </w:p>
    <w:p>
      <w:pPr>
        <w:tabs>
          <w:tab w:val="left" w:pos="7665"/>
        </w:tabs>
        <w:spacing w:line="360" w:lineRule="auto"/>
        <w:ind w:firstLine="480" w:firstLineChars="200"/>
        <w:rPr>
          <w:sz w:val="24"/>
          <w:szCs w:val="22"/>
        </w:rPr>
      </w:pPr>
      <w:r>
        <w:rPr>
          <w:sz w:val="24"/>
          <w:szCs w:val="22"/>
        </w:rPr>
        <w:t>2.接受并分析业主的质量、安全管理部门下达的建议和备忘录，选择合理的内容，并作出书而报告。</w:t>
      </w:r>
    </w:p>
    <w:p>
      <w:pPr>
        <w:tabs>
          <w:tab w:val="left" w:pos="7665"/>
        </w:tabs>
        <w:spacing w:line="360" w:lineRule="auto"/>
        <w:ind w:firstLine="240" w:firstLineChars="100"/>
        <w:rPr>
          <w:sz w:val="24"/>
          <w:szCs w:val="22"/>
        </w:rPr>
      </w:pPr>
      <w:r>
        <w:rPr>
          <w:rFonts w:hint="eastAsia"/>
          <w:sz w:val="24"/>
          <w:szCs w:val="22"/>
        </w:rPr>
        <w:t>⑤</w:t>
      </w:r>
      <w:r>
        <w:rPr>
          <w:sz w:val="24"/>
          <w:szCs w:val="22"/>
        </w:rPr>
        <w:t>监理单位应向业主提供的信息文件目录</w:t>
      </w:r>
    </w:p>
    <w:p>
      <w:pPr>
        <w:tabs>
          <w:tab w:val="left" w:pos="7665"/>
        </w:tabs>
        <w:spacing w:line="360" w:lineRule="auto"/>
        <w:ind w:firstLine="480" w:firstLineChars="200"/>
        <w:rPr>
          <w:sz w:val="24"/>
          <w:szCs w:val="22"/>
        </w:rPr>
      </w:pPr>
      <w:r>
        <w:rPr>
          <w:sz w:val="24"/>
          <w:szCs w:val="22"/>
        </w:rPr>
        <w:t>1.定期信息文件</w:t>
      </w:r>
    </w:p>
    <w:p>
      <w:pPr>
        <w:tabs>
          <w:tab w:val="left" w:pos="7665"/>
        </w:tabs>
        <w:spacing w:line="360" w:lineRule="auto"/>
        <w:ind w:firstLine="480" w:firstLineChars="200"/>
        <w:rPr>
          <w:rFonts w:hint="eastAsia" w:eastAsia="宋体"/>
          <w:sz w:val="24"/>
          <w:szCs w:val="22"/>
          <w:lang w:eastAsia="zh-CN"/>
        </w:rPr>
      </w:pPr>
      <w:r>
        <w:rPr>
          <w:sz w:val="24"/>
          <w:szCs w:val="22"/>
        </w:rPr>
        <w:t>（1）根据监理工程项目、范围及内容，随工程施工进展向业主报送监理报表</w:t>
      </w:r>
      <w:r>
        <w:rPr>
          <w:rFonts w:hint="eastAsia"/>
          <w:sz w:val="24"/>
          <w:szCs w:val="22"/>
          <w:lang w:eastAsia="zh-CN"/>
        </w:rPr>
        <w:t>；</w:t>
      </w:r>
    </w:p>
    <w:p>
      <w:pPr>
        <w:tabs>
          <w:tab w:val="left" w:pos="7665"/>
        </w:tabs>
        <w:spacing w:line="360" w:lineRule="auto"/>
        <w:ind w:firstLine="480" w:firstLineChars="200"/>
        <w:rPr>
          <w:sz w:val="24"/>
          <w:szCs w:val="22"/>
        </w:rPr>
      </w:pPr>
      <w:r>
        <w:rPr>
          <w:sz w:val="24"/>
          <w:szCs w:val="22"/>
        </w:rPr>
        <w:t>（</w:t>
      </w:r>
      <w:r>
        <w:rPr>
          <w:rFonts w:hint="eastAsia"/>
          <w:sz w:val="24"/>
          <w:szCs w:val="22"/>
        </w:rPr>
        <w:t>2</w:t>
      </w:r>
      <w:r>
        <w:rPr>
          <w:sz w:val="24"/>
          <w:szCs w:val="22"/>
        </w:rPr>
        <w:t>）工程质量分析专题报告；</w:t>
      </w:r>
    </w:p>
    <w:p>
      <w:pPr>
        <w:tabs>
          <w:tab w:val="left" w:pos="7665"/>
        </w:tabs>
        <w:spacing w:line="360" w:lineRule="auto"/>
        <w:ind w:firstLine="480" w:firstLineChars="200"/>
        <w:rPr>
          <w:sz w:val="24"/>
          <w:szCs w:val="22"/>
        </w:rPr>
      </w:pPr>
      <w:r>
        <w:rPr>
          <w:sz w:val="24"/>
          <w:szCs w:val="22"/>
        </w:rPr>
        <w:t>（</w:t>
      </w:r>
      <w:r>
        <w:rPr>
          <w:rFonts w:hint="eastAsia"/>
          <w:sz w:val="24"/>
          <w:szCs w:val="22"/>
        </w:rPr>
        <w:t>3</w:t>
      </w:r>
      <w:r>
        <w:rPr>
          <w:sz w:val="24"/>
          <w:szCs w:val="22"/>
        </w:rPr>
        <w:t>）工程进度分析专题报告；</w:t>
      </w:r>
    </w:p>
    <w:p>
      <w:pPr>
        <w:tabs>
          <w:tab w:val="left" w:pos="7665"/>
        </w:tabs>
        <w:spacing w:line="360" w:lineRule="auto"/>
        <w:ind w:firstLine="480" w:firstLineChars="200"/>
        <w:rPr>
          <w:sz w:val="24"/>
          <w:szCs w:val="22"/>
        </w:rPr>
      </w:pPr>
      <w:r>
        <w:rPr>
          <w:sz w:val="24"/>
          <w:szCs w:val="22"/>
        </w:rPr>
        <w:t>（</w:t>
      </w:r>
      <w:r>
        <w:rPr>
          <w:rFonts w:hint="eastAsia"/>
          <w:sz w:val="24"/>
          <w:szCs w:val="22"/>
        </w:rPr>
        <w:t>4</w:t>
      </w:r>
      <w:r>
        <w:rPr>
          <w:sz w:val="24"/>
          <w:szCs w:val="22"/>
        </w:rPr>
        <w:t>）施工安全专题报告；</w:t>
      </w:r>
    </w:p>
    <w:p>
      <w:pPr>
        <w:tabs>
          <w:tab w:val="left" w:pos="7665"/>
        </w:tabs>
        <w:spacing w:line="360" w:lineRule="auto"/>
        <w:ind w:firstLine="480" w:firstLineChars="200"/>
        <w:rPr>
          <w:sz w:val="24"/>
          <w:szCs w:val="22"/>
        </w:rPr>
      </w:pPr>
      <w:r>
        <w:rPr>
          <w:sz w:val="24"/>
          <w:szCs w:val="22"/>
        </w:rPr>
        <w:t>（</w:t>
      </w:r>
      <w:r>
        <w:rPr>
          <w:rFonts w:hint="eastAsia"/>
          <w:sz w:val="24"/>
          <w:szCs w:val="22"/>
        </w:rPr>
        <w:t>5</w:t>
      </w:r>
      <w:r>
        <w:rPr>
          <w:sz w:val="24"/>
          <w:szCs w:val="22"/>
        </w:rPr>
        <w:t>）工程质量统计报表；</w:t>
      </w:r>
    </w:p>
    <w:p>
      <w:pPr>
        <w:tabs>
          <w:tab w:val="left" w:pos="7665"/>
        </w:tabs>
        <w:spacing w:line="360" w:lineRule="auto"/>
        <w:ind w:firstLine="480" w:firstLineChars="200"/>
        <w:rPr>
          <w:sz w:val="24"/>
          <w:szCs w:val="22"/>
        </w:rPr>
      </w:pPr>
      <w:r>
        <w:rPr>
          <w:sz w:val="24"/>
          <w:szCs w:val="22"/>
        </w:rPr>
        <w:t>（</w:t>
      </w:r>
      <w:r>
        <w:rPr>
          <w:rFonts w:hint="eastAsia"/>
          <w:sz w:val="24"/>
          <w:szCs w:val="22"/>
        </w:rPr>
        <w:t>6</w:t>
      </w:r>
      <w:r>
        <w:rPr>
          <w:sz w:val="24"/>
          <w:szCs w:val="22"/>
        </w:rPr>
        <w:t>）施工安全统计报表；</w:t>
      </w:r>
    </w:p>
    <w:p>
      <w:pPr>
        <w:tabs>
          <w:tab w:val="left" w:pos="7665"/>
        </w:tabs>
        <w:spacing w:line="360" w:lineRule="auto"/>
        <w:ind w:firstLine="480" w:firstLineChars="200"/>
        <w:rPr>
          <w:sz w:val="24"/>
          <w:szCs w:val="22"/>
        </w:rPr>
      </w:pPr>
      <w:r>
        <w:rPr>
          <w:sz w:val="24"/>
          <w:szCs w:val="22"/>
        </w:rPr>
        <w:t>（</w:t>
      </w:r>
      <w:r>
        <w:rPr>
          <w:rFonts w:hint="eastAsia"/>
          <w:sz w:val="24"/>
          <w:szCs w:val="22"/>
        </w:rPr>
        <w:t>7</w:t>
      </w:r>
      <w:r>
        <w:rPr>
          <w:sz w:val="24"/>
          <w:szCs w:val="22"/>
        </w:rPr>
        <w:t>）设计、变更与索赔处理的计量和处理结论、支付等台帐；</w:t>
      </w:r>
    </w:p>
    <w:p>
      <w:pPr>
        <w:tabs>
          <w:tab w:val="left" w:pos="7665"/>
        </w:tabs>
        <w:spacing w:line="360" w:lineRule="auto"/>
        <w:ind w:firstLine="480" w:firstLineChars="200"/>
        <w:rPr>
          <w:sz w:val="24"/>
          <w:szCs w:val="22"/>
        </w:rPr>
      </w:pPr>
      <w:r>
        <w:rPr>
          <w:sz w:val="24"/>
          <w:szCs w:val="22"/>
        </w:rPr>
        <w:t>（</w:t>
      </w:r>
      <w:r>
        <w:rPr>
          <w:rFonts w:hint="eastAsia"/>
          <w:sz w:val="24"/>
          <w:szCs w:val="22"/>
        </w:rPr>
        <w:t>8</w:t>
      </w:r>
      <w:r>
        <w:rPr>
          <w:sz w:val="24"/>
          <w:szCs w:val="22"/>
        </w:rPr>
        <w:t>）每月25日前向业主提交监理月报。</w:t>
      </w:r>
    </w:p>
    <w:p>
      <w:pPr>
        <w:tabs>
          <w:tab w:val="left" w:pos="7665"/>
        </w:tabs>
        <w:spacing w:line="360" w:lineRule="auto"/>
        <w:ind w:firstLine="480" w:firstLineChars="200"/>
        <w:rPr>
          <w:sz w:val="24"/>
          <w:szCs w:val="22"/>
        </w:rPr>
      </w:pPr>
      <w:r>
        <w:rPr>
          <w:sz w:val="24"/>
          <w:szCs w:val="22"/>
        </w:rPr>
        <w:t>2.根据监理工程进展情况的不定期报告</w:t>
      </w:r>
    </w:p>
    <w:p>
      <w:pPr>
        <w:tabs>
          <w:tab w:val="left" w:pos="7665"/>
        </w:tabs>
        <w:spacing w:line="360" w:lineRule="auto"/>
        <w:ind w:firstLine="480" w:firstLineChars="200"/>
        <w:rPr>
          <w:sz w:val="24"/>
          <w:szCs w:val="22"/>
        </w:rPr>
      </w:pPr>
      <w:r>
        <w:rPr>
          <w:sz w:val="24"/>
          <w:szCs w:val="22"/>
        </w:rPr>
        <w:t>（1）关于工程优化设计或变更或施工进展的建议；</w:t>
      </w:r>
    </w:p>
    <w:p>
      <w:pPr>
        <w:tabs>
          <w:tab w:val="left" w:pos="7665"/>
        </w:tabs>
        <w:spacing w:line="360" w:lineRule="auto"/>
        <w:ind w:firstLine="480" w:firstLineChars="200"/>
        <w:rPr>
          <w:sz w:val="24"/>
          <w:szCs w:val="22"/>
        </w:rPr>
      </w:pPr>
      <w:r>
        <w:rPr>
          <w:sz w:val="24"/>
          <w:szCs w:val="22"/>
        </w:rPr>
        <w:t>（</w:t>
      </w:r>
      <w:r>
        <w:rPr>
          <w:rFonts w:hint="eastAsia"/>
          <w:sz w:val="24"/>
          <w:szCs w:val="22"/>
        </w:rPr>
        <w:t>2</w:t>
      </w:r>
      <w:r>
        <w:rPr>
          <w:sz w:val="24"/>
          <w:szCs w:val="22"/>
        </w:rPr>
        <w:t>）资金、资源投入及合理配置的建议；</w:t>
      </w:r>
    </w:p>
    <w:p>
      <w:pPr>
        <w:tabs>
          <w:tab w:val="left" w:pos="7665"/>
        </w:tabs>
        <w:spacing w:line="360" w:lineRule="auto"/>
        <w:ind w:firstLine="480" w:firstLineChars="200"/>
        <w:rPr>
          <w:sz w:val="24"/>
          <w:szCs w:val="22"/>
        </w:rPr>
      </w:pPr>
      <w:r>
        <w:rPr>
          <w:sz w:val="24"/>
          <w:szCs w:val="22"/>
        </w:rPr>
        <w:t>（</w:t>
      </w:r>
      <w:r>
        <w:rPr>
          <w:rFonts w:hint="eastAsia"/>
          <w:sz w:val="24"/>
          <w:szCs w:val="22"/>
        </w:rPr>
        <w:t>3</w:t>
      </w:r>
      <w:r>
        <w:rPr>
          <w:sz w:val="24"/>
          <w:szCs w:val="22"/>
        </w:rPr>
        <w:t>）工程进度及工程进展预测分析报告；</w:t>
      </w:r>
    </w:p>
    <w:p>
      <w:pPr>
        <w:tabs>
          <w:tab w:val="left" w:pos="7665"/>
        </w:tabs>
        <w:spacing w:line="360" w:lineRule="auto"/>
        <w:ind w:firstLine="480" w:firstLineChars="200"/>
        <w:rPr>
          <w:sz w:val="24"/>
          <w:szCs w:val="22"/>
        </w:rPr>
      </w:pPr>
      <w:r>
        <w:rPr>
          <w:sz w:val="24"/>
          <w:szCs w:val="22"/>
        </w:rPr>
        <w:t>（</w:t>
      </w:r>
      <w:r>
        <w:rPr>
          <w:rFonts w:hint="eastAsia"/>
          <w:sz w:val="24"/>
          <w:szCs w:val="22"/>
        </w:rPr>
        <w:t>4</w:t>
      </w:r>
      <w:r>
        <w:rPr>
          <w:sz w:val="24"/>
          <w:szCs w:val="22"/>
        </w:rPr>
        <w:t>）工程质量状况及其分析的专题报告；</w:t>
      </w:r>
    </w:p>
    <w:p>
      <w:pPr>
        <w:tabs>
          <w:tab w:val="left" w:pos="7665"/>
        </w:tabs>
        <w:spacing w:line="360" w:lineRule="auto"/>
        <w:ind w:firstLine="480" w:firstLineChars="200"/>
        <w:rPr>
          <w:sz w:val="24"/>
          <w:szCs w:val="22"/>
        </w:rPr>
      </w:pPr>
      <w:r>
        <w:rPr>
          <w:sz w:val="24"/>
          <w:szCs w:val="22"/>
        </w:rPr>
        <w:t>（</w:t>
      </w:r>
      <w:r>
        <w:rPr>
          <w:rFonts w:hint="eastAsia"/>
          <w:sz w:val="24"/>
          <w:szCs w:val="22"/>
        </w:rPr>
        <w:t>5</w:t>
      </w:r>
      <w:r>
        <w:rPr>
          <w:sz w:val="24"/>
          <w:szCs w:val="22"/>
        </w:rPr>
        <w:t>）业主合理要求提交的其它报告。</w:t>
      </w:r>
    </w:p>
    <w:p>
      <w:pPr>
        <w:tabs>
          <w:tab w:val="left" w:pos="7665"/>
        </w:tabs>
        <w:spacing w:line="360" w:lineRule="auto"/>
        <w:ind w:firstLine="480" w:firstLineChars="200"/>
        <w:rPr>
          <w:sz w:val="24"/>
          <w:szCs w:val="22"/>
        </w:rPr>
      </w:pPr>
      <w:r>
        <w:rPr>
          <w:sz w:val="24"/>
          <w:szCs w:val="22"/>
        </w:rPr>
        <w:t>3.监理过程文件</w:t>
      </w:r>
    </w:p>
    <w:p>
      <w:pPr>
        <w:tabs>
          <w:tab w:val="left" w:pos="7665"/>
        </w:tabs>
        <w:spacing w:line="360" w:lineRule="auto"/>
        <w:ind w:firstLine="480" w:firstLineChars="200"/>
        <w:rPr>
          <w:sz w:val="24"/>
          <w:szCs w:val="22"/>
        </w:rPr>
      </w:pPr>
      <w:r>
        <w:rPr>
          <w:sz w:val="24"/>
          <w:szCs w:val="22"/>
        </w:rPr>
        <w:t>（</w:t>
      </w:r>
      <w:r>
        <w:rPr>
          <w:rFonts w:hint="eastAsia"/>
          <w:sz w:val="24"/>
          <w:szCs w:val="22"/>
        </w:rPr>
        <w:t>1</w:t>
      </w:r>
      <w:r>
        <w:rPr>
          <w:sz w:val="24"/>
          <w:szCs w:val="22"/>
        </w:rPr>
        <w:t>）施工措施计划批复文件；</w:t>
      </w:r>
    </w:p>
    <w:p>
      <w:pPr>
        <w:tabs>
          <w:tab w:val="left" w:pos="7665"/>
        </w:tabs>
        <w:spacing w:line="360" w:lineRule="auto"/>
        <w:ind w:firstLine="480" w:firstLineChars="200"/>
        <w:rPr>
          <w:sz w:val="24"/>
          <w:szCs w:val="22"/>
        </w:rPr>
      </w:pPr>
      <w:r>
        <w:rPr>
          <w:sz w:val="24"/>
          <w:szCs w:val="22"/>
        </w:rPr>
        <w:t>（</w:t>
      </w:r>
      <w:r>
        <w:rPr>
          <w:rFonts w:hint="eastAsia"/>
          <w:sz w:val="24"/>
          <w:szCs w:val="22"/>
        </w:rPr>
        <w:t>2</w:t>
      </w:r>
      <w:r>
        <w:rPr>
          <w:sz w:val="24"/>
          <w:szCs w:val="22"/>
        </w:rPr>
        <w:t>）施工进度调整批复文件；</w:t>
      </w:r>
    </w:p>
    <w:p>
      <w:pPr>
        <w:tabs>
          <w:tab w:val="left" w:pos="7665"/>
        </w:tabs>
        <w:spacing w:line="360" w:lineRule="auto"/>
        <w:ind w:firstLine="480" w:firstLineChars="200"/>
        <w:rPr>
          <w:sz w:val="24"/>
          <w:szCs w:val="22"/>
        </w:rPr>
      </w:pPr>
      <w:r>
        <w:rPr>
          <w:sz w:val="24"/>
          <w:szCs w:val="22"/>
        </w:rPr>
        <w:t>（</w:t>
      </w:r>
      <w:r>
        <w:rPr>
          <w:rFonts w:hint="eastAsia"/>
          <w:sz w:val="24"/>
          <w:szCs w:val="22"/>
        </w:rPr>
        <w:t>3</w:t>
      </w:r>
      <w:r>
        <w:rPr>
          <w:sz w:val="24"/>
          <w:szCs w:val="22"/>
        </w:rPr>
        <w:t>）监理协调会议纪要文件；</w:t>
      </w:r>
    </w:p>
    <w:p>
      <w:pPr>
        <w:tabs>
          <w:tab w:val="left" w:pos="7665"/>
        </w:tabs>
        <w:spacing w:line="360" w:lineRule="auto"/>
        <w:ind w:firstLine="480" w:firstLineChars="200"/>
        <w:rPr>
          <w:sz w:val="24"/>
          <w:szCs w:val="22"/>
        </w:rPr>
      </w:pPr>
      <w:r>
        <w:rPr>
          <w:sz w:val="24"/>
          <w:szCs w:val="22"/>
        </w:rPr>
        <w:t>（4）其它监理业务往来文件。</w:t>
      </w:r>
    </w:p>
    <w:p>
      <w:pPr>
        <w:widowControl/>
        <w:spacing w:line="360" w:lineRule="auto"/>
        <w:ind w:firstLine="480" w:firstLineChars="200"/>
        <w:jc w:val="left"/>
        <w:rPr>
          <w:sz w:val="24"/>
          <w:szCs w:val="22"/>
        </w:rPr>
      </w:pPr>
      <w:r>
        <w:rPr>
          <w:sz w:val="24"/>
          <w:szCs w:val="22"/>
        </w:rPr>
        <w:t>4.上述监理单位向业主报送的文件和资料，应按业主的审查批准的格式，分别提供书面5份、电子文件1份，电子文件按业主规定的方式提供。</w:t>
      </w:r>
    </w:p>
    <w:p>
      <w:pPr>
        <w:tabs>
          <w:tab w:val="left" w:pos="7665"/>
        </w:tabs>
        <w:spacing w:line="360" w:lineRule="auto"/>
        <w:ind w:firstLine="482" w:firstLineChars="200"/>
        <w:rPr>
          <w:sz w:val="24"/>
          <w:szCs w:val="22"/>
        </w:rPr>
      </w:pPr>
      <w:r>
        <w:rPr>
          <w:rFonts w:hint="eastAsia"/>
          <w:b/>
          <w:sz w:val="24"/>
          <w:szCs w:val="22"/>
        </w:rPr>
        <w:t>（四）</w:t>
      </w:r>
      <w:r>
        <w:rPr>
          <w:b/>
          <w:sz w:val="24"/>
          <w:szCs w:val="22"/>
        </w:rPr>
        <w:t>其他要求</w:t>
      </w:r>
      <w:r>
        <w:rPr>
          <w:sz w:val="24"/>
          <w:szCs w:val="22"/>
        </w:rPr>
        <w:t>：</w:t>
      </w:r>
    </w:p>
    <w:p>
      <w:pPr>
        <w:tabs>
          <w:tab w:val="left" w:pos="7665"/>
        </w:tabs>
        <w:spacing w:line="360" w:lineRule="auto"/>
        <w:ind w:firstLine="480" w:firstLineChars="200"/>
        <w:rPr>
          <w:sz w:val="24"/>
          <w:szCs w:val="22"/>
        </w:rPr>
      </w:pPr>
      <w:r>
        <w:rPr>
          <w:sz w:val="24"/>
          <w:szCs w:val="22"/>
        </w:rPr>
        <w:t>1.采购合同签订时间：供应商成交后，自成交通知书发出之日起尽快与采购单位签定采购合同。</w:t>
      </w:r>
    </w:p>
    <w:p>
      <w:pPr>
        <w:tabs>
          <w:tab w:val="left" w:pos="7665"/>
        </w:tabs>
        <w:spacing w:line="360" w:lineRule="auto"/>
        <w:ind w:firstLine="480" w:firstLineChars="200"/>
        <w:rPr>
          <w:sz w:val="24"/>
          <w:szCs w:val="22"/>
        </w:rPr>
      </w:pPr>
      <w:r>
        <w:rPr>
          <w:sz w:val="24"/>
          <w:szCs w:val="22"/>
        </w:rPr>
        <w:t>2.供应商定期及时向采购人通告本项目服务范围内有关服务的重大事项及其进度。</w:t>
      </w:r>
    </w:p>
    <w:p>
      <w:pPr>
        <w:tabs>
          <w:tab w:val="left" w:pos="7665"/>
        </w:tabs>
        <w:spacing w:line="360" w:lineRule="auto"/>
        <w:ind w:firstLine="480" w:firstLineChars="200"/>
        <w:rPr>
          <w:sz w:val="24"/>
          <w:szCs w:val="22"/>
        </w:rPr>
      </w:pPr>
      <w:r>
        <w:rPr>
          <w:sz w:val="24"/>
          <w:szCs w:val="22"/>
        </w:rPr>
        <w:t>3.接受项目行业管理部门及政府有关部门的指导，接受采购人的监督。</w:t>
      </w:r>
    </w:p>
    <w:p>
      <w:pPr>
        <w:tabs>
          <w:tab w:val="left" w:pos="7665"/>
        </w:tabs>
        <w:spacing w:line="360" w:lineRule="auto"/>
        <w:ind w:firstLine="480" w:firstLineChars="200"/>
      </w:pPr>
      <w:r>
        <w:rPr>
          <w:sz w:val="24"/>
          <w:szCs w:val="22"/>
        </w:rPr>
        <w:t>4.保险：监理人应在监理服务期内自费对派驻到项目所在地人员投保雇主责任险，对自备财产投保财产险。保险时间应随服务时间的延长而顺延，并在出险后自行办理索赔。如果监理人不办理上述保险，则应对有关风险和后果自负其责。</w:t>
      </w:r>
    </w:p>
    <w:p>
      <w:pPr>
        <w:widowControl/>
        <w:spacing w:line="360" w:lineRule="auto"/>
        <w:ind w:firstLine="482" w:firstLineChars="200"/>
        <w:jc w:val="left"/>
        <w:rPr>
          <w:rFonts w:ascii="宋体" w:hAnsi="宋体" w:cs="微软雅黑"/>
          <w:b/>
          <w:sz w:val="24"/>
        </w:rPr>
      </w:pPr>
    </w:p>
    <w:p>
      <w:pPr>
        <w:pStyle w:val="3"/>
        <w:spacing w:line="240" w:lineRule="auto"/>
        <w:jc w:val="center"/>
        <w:rPr>
          <w:rFonts w:ascii="宋体" w:hAnsi="宋体"/>
          <w:sz w:val="36"/>
          <w:szCs w:val="36"/>
        </w:rPr>
      </w:pPr>
      <w:r>
        <w:rPr>
          <w:rFonts w:ascii="宋体" w:hAnsi="宋体"/>
          <w:b w:val="0"/>
          <w:sz w:val="32"/>
        </w:rPr>
        <w:br w:type="page"/>
      </w:r>
      <w:bookmarkStart w:id="33" w:name="_Toc9267"/>
      <w:r>
        <w:rPr>
          <w:rFonts w:hint="eastAsia" w:ascii="宋体" w:hAnsi="宋体"/>
          <w:sz w:val="36"/>
          <w:szCs w:val="36"/>
        </w:rPr>
        <w:t>第六章  采购项目实质性要求</w:t>
      </w:r>
      <w:bookmarkEnd w:id="33"/>
    </w:p>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供应商资格必须符合国家有关规定和谈判采购文件资格性要求；若谈判结果无实质性变动,供应商必须满足采购文件规定的所有实质性要求，并且响应文件中不能附有采购人不能接受的条件。否则将视作无效文件处理。</w:t>
      </w:r>
    </w:p>
    <w:p/>
    <w:p>
      <w:pPr>
        <w:widowControl/>
        <w:jc w:val="left"/>
        <w:rPr>
          <w:rFonts w:ascii="宋体" w:hAnsi="宋体"/>
          <w:b/>
          <w:bCs/>
          <w:kern w:val="44"/>
          <w:sz w:val="36"/>
          <w:szCs w:val="36"/>
        </w:rPr>
      </w:pPr>
      <w:r>
        <w:rPr>
          <w:rFonts w:ascii="宋体" w:hAnsi="宋体"/>
          <w:sz w:val="36"/>
          <w:szCs w:val="36"/>
        </w:rPr>
        <w:br w:type="page"/>
      </w:r>
    </w:p>
    <w:p>
      <w:pPr>
        <w:pStyle w:val="3"/>
        <w:spacing w:line="240" w:lineRule="auto"/>
        <w:jc w:val="center"/>
        <w:rPr>
          <w:rFonts w:ascii="宋体" w:hAnsi="宋体"/>
          <w:sz w:val="36"/>
          <w:szCs w:val="36"/>
        </w:rPr>
      </w:pPr>
      <w:bookmarkStart w:id="34" w:name="_Toc1235"/>
      <w:r>
        <w:rPr>
          <w:rFonts w:hint="eastAsia" w:ascii="宋体" w:hAnsi="宋体"/>
          <w:sz w:val="36"/>
          <w:szCs w:val="36"/>
        </w:rPr>
        <w:t>第七章  谈判内容、谈判过程中可实质性变动的内容</w:t>
      </w:r>
      <w:bookmarkEnd w:id="34"/>
    </w:p>
    <w:p>
      <w:pPr>
        <w:widowControl/>
        <w:spacing w:line="360" w:lineRule="auto"/>
        <w:ind w:firstLine="480" w:firstLineChars="200"/>
        <w:jc w:val="left"/>
        <w:rPr>
          <w:rFonts w:ascii="宋体" w:hAnsi="宋体" w:cs="微软雅黑"/>
          <w:sz w:val="24"/>
        </w:rPr>
      </w:pPr>
    </w:p>
    <w:p>
      <w:pPr>
        <w:tabs>
          <w:tab w:val="left" w:pos="7665"/>
        </w:tabs>
        <w:spacing w:line="480" w:lineRule="auto"/>
        <w:ind w:firstLine="480"/>
        <w:rPr>
          <w:rFonts w:ascii="宋体" w:hAnsi="宋体"/>
          <w:bCs/>
          <w:color w:val="000000"/>
          <w:sz w:val="24"/>
        </w:rPr>
      </w:pPr>
      <w:r>
        <w:rPr>
          <w:rFonts w:hint="eastAsia" w:ascii="宋体" w:hAnsi="宋体"/>
          <w:bCs/>
          <w:color w:val="000000"/>
          <w:sz w:val="24"/>
        </w:rPr>
        <w:t>在谈判过程中，谈判小组可以根据谈判文件和谈判情况实质性变动采购需求中的技术、服务要求以及合同草案条款，但不得变动谈判文件中的其他内容。实质性变动的内容，须经采购人代表确认。</w:t>
      </w:r>
    </w:p>
    <w:p>
      <w:pPr>
        <w:widowControl/>
        <w:jc w:val="left"/>
        <w:rPr>
          <w:rFonts w:ascii="宋体" w:hAnsi="宋体"/>
          <w:b/>
          <w:sz w:val="32"/>
        </w:rPr>
      </w:pPr>
    </w:p>
    <w:p>
      <w:pPr>
        <w:widowControl/>
        <w:jc w:val="left"/>
        <w:rPr>
          <w:rFonts w:ascii="宋体" w:hAnsi="宋体"/>
          <w:b/>
          <w:sz w:val="32"/>
        </w:rPr>
      </w:pPr>
      <w:r>
        <w:rPr>
          <w:rFonts w:ascii="宋体" w:hAnsi="宋体"/>
          <w:b/>
          <w:sz w:val="32"/>
        </w:rPr>
        <w:br w:type="page"/>
      </w:r>
    </w:p>
    <w:p>
      <w:pPr>
        <w:pStyle w:val="3"/>
        <w:spacing w:line="240" w:lineRule="auto"/>
        <w:jc w:val="center"/>
        <w:rPr>
          <w:rFonts w:ascii="宋体" w:hAnsi="宋体"/>
          <w:sz w:val="36"/>
          <w:szCs w:val="36"/>
        </w:rPr>
      </w:pPr>
      <w:bookmarkStart w:id="35" w:name="_Toc16950"/>
      <w:r>
        <w:rPr>
          <w:rFonts w:hint="eastAsia" w:ascii="宋体" w:hAnsi="宋体"/>
          <w:sz w:val="36"/>
          <w:szCs w:val="36"/>
        </w:rPr>
        <w:t>第八章  响应文件格式</w:t>
      </w:r>
      <w:bookmarkEnd w:id="35"/>
    </w:p>
    <w:p>
      <w:pPr>
        <w:tabs>
          <w:tab w:val="left" w:pos="900"/>
        </w:tabs>
        <w:spacing w:line="360" w:lineRule="auto"/>
        <w:jc w:val="center"/>
        <w:rPr>
          <w:rFonts w:ascii="宋体" w:hAnsi="宋体"/>
          <w:b/>
          <w:sz w:val="32"/>
        </w:rPr>
      </w:pPr>
    </w:p>
    <w:p>
      <w:pPr>
        <w:spacing w:line="360" w:lineRule="auto"/>
        <w:ind w:firstLine="480" w:firstLineChars="200"/>
        <w:rPr>
          <w:rFonts w:ascii="宋体" w:hAnsi="宋体" w:cstheme="minorEastAsia"/>
          <w:sz w:val="24"/>
        </w:rPr>
      </w:pPr>
      <w:r>
        <w:rPr>
          <w:rFonts w:hint="eastAsia" w:ascii="宋体" w:hAnsi="宋体" w:cstheme="minorEastAsia"/>
          <w:sz w:val="24"/>
        </w:rPr>
        <w:t>一、本章所制响应文件格式，除格式中明确将该格式作为实质性要求的，一律不具有强制性，但是，供应商响应文件相关资料和本章所制格式不一致的，谈判小组将在评分时以响应文件不规范予以扣分处理。</w:t>
      </w:r>
    </w:p>
    <w:p>
      <w:pPr>
        <w:spacing w:line="360" w:lineRule="auto"/>
        <w:ind w:firstLine="480" w:firstLineChars="200"/>
        <w:rPr>
          <w:rFonts w:ascii="宋体" w:hAnsi="宋体" w:cstheme="minorEastAsia"/>
          <w:sz w:val="24"/>
        </w:rPr>
      </w:pPr>
      <w:r>
        <w:rPr>
          <w:rFonts w:hint="eastAsia" w:ascii="宋体" w:hAnsi="宋体" w:cstheme="minorEastAsia"/>
          <w:sz w:val="24"/>
        </w:rPr>
        <w:t>二、本章所制响应文件格式有关表格中的备注栏，由供应商根据自身响应情况作解释性说明，不作为必填项。</w:t>
      </w:r>
    </w:p>
    <w:p>
      <w:pPr>
        <w:spacing w:line="360" w:lineRule="auto"/>
        <w:ind w:firstLine="480" w:firstLineChars="200"/>
        <w:rPr>
          <w:rFonts w:ascii="宋体" w:hAnsi="宋体" w:cstheme="minorEastAsia"/>
          <w:sz w:val="24"/>
        </w:rPr>
      </w:pPr>
      <w:r>
        <w:rPr>
          <w:rFonts w:hint="eastAsia" w:ascii="宋体" w:hAnsi="宋体" w:cstheme="minorEastAsia"/>
          <w:sz w:val="24"/>
        </w:rPr>
        <w:t>三、本章所制响应文件格式中需要填写的相关内容事项，可能会与本采购项目无关，在不改变响应文件原义、不影响本项目采购需求的情况下，供应商可以不予填写，但应当注明。</w:t>
      </w: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p>
    <w:p>
      <w:pPr>
        <w:widowControl/>
        <w:jc w:val="left"/>
        <w:rPr>
          <w:rFonts w:ascii="宋体" w:hAnsi="宋体"/>
          <w:b/>
          <w:sz w:val="32"/>
          <w:szCs w:val="32"/>
        </w:rPr>
      </w:pPr>
      <w:r>
        <w:rPr>
          <w:rFonts w:ascii="宋体" w:hAnsi="宋体"/>
          <w:b/>
          <w:sz w:val="32"/>
          <w:szCs w:val="32"/>
        </w:rPr>
        <w:br w:type="page"/>
      </w: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r>
        <w:rPr>
          <w:rFonts w:ascii="宋体" w:hAnsi="宋体"/>
          <w:b/>
          <w:sz w:val="32"/>
        </w:rPr>
        <w:t xml:space="preserve">第一部分     </w:t>
      </w:r>
      <w:r>
        <w:rPr>
          <w:rFonts w:hint="eastAsia" w:ascii="宋体" w:hAnsi="宋体"/>
          <w:b/>
          <w:sz w:val="32"/>
        </w:rPr>
        <w:t>“</w:t>
      </w:r>
      <w:r>
        <w:rPr>
          <w:rFonts w:ascii="宋体" w:hAnsi="宋体"/>
          <w:b/>
          <w:sz w:val="32"/>
        </w:rPr>
        <w:t>资格性响应文件</w:t>
      </w:r>
      <w:r>
        <w:rPr>
          <w:rFonts w:hint="eastAsia" w:ascii="宋体" w:hAnsi="宋体"/>
          <w:b/>
          <w:sz w:val="32"/>
        </w:rPr>
        <w:t>”</w:t>
      </w:r>
      <w:r>
        <w:rPr>
          <w:rFonts w:ascii="宋体" w:hAnsi="宋体"/>
          <w:b/>
          <w:sz w:val="32"/>
        </w:rPr>
        <w:t>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pStyle w:val="48"/>
        <w:jc w:val="center"/>
      </w:pPr>
      <w:r>
        <w:rPr>
          <w:rFonts w:hint="eastAsia" w:hAnsi="宋体" w:cs="Times New Roman"/>
          <w:b/>
          <w:color w:val="auto"/>
          <w:kern w:val="2"/>
          <w:sz w:val="52"/>
          <w:szCs w:val="52"/>
        </w:rPr>
        <w:t>资格性响应文件</w:t>
      </w:r>
    </w:p>
    <w:p>
      <w:pPr>
        <w:pStyle w:val="48"/>
      </w:pPr>
    </w:p>
    <w:p>
      <w:pPr>
        <w:pStyle w:val="48"/>
      </w:pPr>
    </w:p>
    <w:p>
      <w:pPr>
        <w:pStyle w:val="48"/>
      </w:pPr>
    </w:p>
    <w:p>
      <w:pPr>
        <w:pStyle w:val="48"/>
      </w:pPr>
    </w:p>
    <w:p>
      <w:pPr>
        <w:spacing w:line="360" w:lineRule="auto"/>
        <w:ind w:firstLine="643" w:firstLineChars="200"/>
        <w:jc w:val="left"/>
        <w:rPr>
          <w:rFonts w:ascii="宋体" w:hAnsi="宋体"/>
          <w:b/>
          <w:sz w:val="32"/>
          <w:u w:val="single"/>
        </w:rPr>
      </w:pPr>
      <w:r>
        <w:rPr>
          <w:rFonts w:hint="eastAsia" w:ascii="宋体" w:hAnsi="宋体"/>
          <w:b/>
          <w:sz w:val="32"/>
        </w:rPr>
        <w:t>供应商</w:t>
      </w:r>
      <w:r>
        <w:rPr>
          <w:rFonts w:ascii="宋体" w:hAnsi="宋体"/>
          <w:b/>
          <w:sz w:val="32"/>
        </w:rPr>
        <w:t>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643" w:firstLineChars="200"/>
        <w:jc w:val="left"/>
        <w:rPr>
          <w:rFonts w:ascii="宋体" w:hAnsi="宋体"/>
          <w:b/>
          <w:sz w:val="32"/>
          <w:u w:val="single"/>
        </w:rPr>
      </w:pPr>
      <w:r>
        <w:rPr>
          <w:rFonts w:hint="eastAsia" w:ascii="宋体" w:hAnsi="宋体"/>
          <w:b/>
          <w:sz w:val="32"/>
        </w:rPr>
        <w:t>招 标 编号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643" w:firstLineChars="200"/>
        <w:jc w:val="left"/>
        <w:rPr>
          <w:rFonts w:ascii="宋体" w:hAnsi="宋体"/>
          <w:b/>
          <w:sz w:val="32"/>
          <w:u w:val="single"/>
        </w:rPr>
      </w:pPr>
      <w:r>
        <w:rPr>
          <w:rFonts w:hint="eastAsia" w:ascii="宋体" w:hAnsi="宋体"/>
          <w:b/>
          <w:sz w:val="32"/>
        </w:rPr>
        <w:t>包      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360" w:lineRule="auto"/>
        <w:rPr>
          <w:rFonts w:ascii="宋体" w:hAnsi="宋体"/>
          <w:b/>
          <w:sz w:val="32"/>
          <w:szCs w:val="32"/>
        </w:rPr>
      </w:pPr>
      <w:r>
        <w:rPr>
          <w:rFonts w:ascii="宋体" w:hAnsi="宋体"/>
          <w:b/>
          <w:sz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一、法定代表人/单位负责人授权书</w:t>
      </w:r>
    </w:p>
    <w:p>
      <w:pPr>
        <w:widowControl/>
        <w:spacing w:line="360" w:lineRule="atLeast"/>
        <w:ind w:firstLine="472" w:firstLineChars="196"/>
        <w:jc w:val="left"/>
        <w:outlineLvl w:val="1"/>
        <w:rPr>
          <w:rFonts w:ascii="宋体" w:hAnsi="宋体"/>
          <w:b/>
          <w:sz w:val="24"/>
        </w:rPr>
      </w:pPr>
    </w:p>
    <w:p>
      <w:pPr>
        <w:widowControl/>
        <w:spacing w:line="360" w:lineRule="atLeast"/>
        <w:ind w:firstLine="472" w:firstLineChars="196"/>
        <w:jc w:val="left"/>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sz w:val="24"/>
          <w:u w:val="single"/>
        </w:rPr>
        <w:t xml:space="preserve">                </w:t>
      </w: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p>
      <w:pPr>
        <w:widowControl/>
        <w:spacing w:line="360" w:lineRule="auto"/>
        <w:ind w:firstLine="470" w:firstLineChars="196"/>
        <w:jc w:val="left"/>
        <w:outlineLvl w:val="1"/>
        <w:rPr>
          <w:rFonts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（法定代表人/单位负责人姓名、职务）授权</w:t>
      </w:r>
      <w:r>
        <w:rPr>
          <w:rFonts w:hint="eastAsia" w:ascii="宋体" w:hAnsi="宋体"/>
          <w:sz w:val="24"/>
          <w:u w:val="single"/>
        </w:rPr>
        <w:t xml:space="preserve">             </w:t>
      </w:r>
      <w:r>
        <w:rPr>
          <w:rFonts w:hint="eastAsia" w:ascii="宋体" w:hAnsi="宋体"/>
          <w:sz w:val="24"/>
        </w:rPr>
        <w:t>（被授权人姓名、职务）为我方 “</w:t>
      </w:r>
      <w:r>
        <w:rPr>
          <w:rFonts w:hint="eastAsia" w:ascii="宋体" w:hAnsi="宋体"/>
          <w:sz w:val="24"/>
          <w:u w:val="single"/>
        </w:rPr>
        <w:t xml:space="preserve">              </w:t>
      </w:r>
      <w:r>
        <w:rPr>
          <w:rFonts w:hint="eastAsia" w:ascii="宋体" w:hAnsi="宋体"/>
          <w:sz w:val="24"/>
        </w:rPr>
        <w:t>” （项目名称）（采购编号：</w:t>
      </w:r>
      <w:r>
        <w:rPr>
          <w:rFonts w:hint="eastAsia" w:ascii="宋体" w:hAnsi="宋体"/>
          <w:sz w:val="24"/>
          <w:u w:val="single"/>
        </w:rPr>
        <w:t xml:space="preserve">             </w:t>
      </w:r>
      <w:r>
        <w:rPr>
          <w:rFonts w:hint="eastAsia" w:ascii="宋体" w:hAnsi="宋体"/>
          <w:sz w:val="24"/>
        </w:rPr>
        <w:t>）谈判采购活动的合法代表，以我方名义全权处理该项目有关谈判、签订合同以及执行合同等一切事宜。</w:t>
      </w:r>
    </w:p>
    <w:p>
      <w:pPr>
        <w:pStyle w:val="48"/>
        <w:spacing w:line="360" w:lineRule="auto"/>
      </w:pPr>
    </w:p>
    <w:p>
      <w:pPr>
        <w:widowControl/>
        <w:spacing w:line="360" w:lineRule="auto"/>
        <w:ind w:firstLine="470" w:firstLineChars="196"/>
        <w:jc w:val="left"/>
        <w:outlineLvl w:val="1"/>
        <w:rPr>
          <w:rFonts w:ascii="宋体" w:hAnsi="宋体"/>
          <w:sz w:val="24"/>
        </w:rPr>
      </w:pPr>
      <w:r>
        <w:rPr>
          <w:rFonts w:hint="eastAsia" w:ascii="宋体" w:hAnsi="宋体"/>
          <w:sz w:val="24"/>
        </w:rPr>
        <w:t>特此声明。</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法定代表人/单位负责人（委托人）签字或加盖个人印章：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授权代表（被授权人）签字：</w:t>
      </w:r>
      <w:r>
        <w:rPr>
          <w:rFonts w:hint="eastAsia" w:ascii="宋体" w:hAnsi="宋体"/>
          <w:sz w:val="24"/>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sz w:val="24"/>
        </w:rPr>
      </w:pPr>
      <w:r>
        <w:rPr>
          <w:rFonts w:hint="eastAsia" w:ascii="宋体" w:hAnsi="宋体"/>
          <w:sz w:val="24"/>
        </w:rPr>
        <w:t>2、应附法定代表人身份证明材料复印件和授权代表身份证明材料复印件。</w:t>
      </w:r>
    </w:p>
    <w:p>
      <w:pPr>
        <w:spacing w:line="400" w:lineRule="exact"/>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400" w:lineRule="exact"/>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widowControl/>
        <w:jc w:val="left"/>
        <w:rPr>
          <w:rFonts w:ascii="宋体" w:hAnsi="宋体"/>
          <w:b/>
          <w:sz w:val="32"/>
          <w:szCs w:val="32"/>
        </w:rPr>
      </w:pPr>
      <w:r>
        <w:rPr>
          <w:rFonts w:ascii="宋体" w:hAnsi="宋体"/>
          <w:b/>
          <w:sz w:val="32"/>
          <w:szCs w:val="32"/>
        </w:rPr>
        <w:br w:type="page"/>
      </w:r>
    </w:p>
    <w:p>
      <w:pPr>
        <w:spacing w:line="400" w:lineRule="exact"/>
        <w:jc w:val="center"/>
        <w:rPr>
          <w:rFonts w:ascii="宋体" w:hAnsi="宋体"/>
          <w:sz w:val="24"/>
        </w:rPr>
      </w:pPr>
      <w:r>
        <w:rPr>
          <w:rFonts w:ascii="宋体" w:hAnsi="宋体"/>
          <w:b/>
          <w:sz w:val="32"/>
          <w:szCs w:val="32"/>
        </w:rPr>
        <w:t>二</w:t>
      </w:r>
      <w:r>
        <w:rPr>
          <w:rFonts w:hint="eastAsia" w:ascii="宋体" w:hAnsi="宋体"/>
          <w:b/>
          <w:sz w:val="32"/>
          <w:szCs w:val="32"/>
        </w:rPr>
        <w:t>、法定代表人/单位负责人</w:t>
      </w:r>
      <w:r>
        <w:rPr>
          <w:rFonts w:hint="eastAsia" w:ascii="宋体" w:hAnsi="宋体" w:cs="宋体"/>
          <w:b/>
          <w:sz w:val="32"/>
          <w:szCs w:val="32"/>
        </w:rPr>
        <w:t>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val="en-US" w:eastAsia="zh-CN"/>
        </w:rPr>
        <w:t>人</w:t>
      </w:r>
      <w:r>
        <w:rPr>
          <w:rFonts w:hint="eastAsia" w:ascii="宋体" w:hAnsi="宋体"/>
          <w:color w:val="000000"/>
          <w:sz w:val="24"/>
        </w:rPr>
        <w:t>名称）</w:t>
      </w:r>
      <w:r>
        <w:rPr>
          <w:rFonts w:hint="eastAsia" w:ascii="宋体" w:hAnsi="宋体"/>
          <w:sz w:val="24"/>
          <w:lang w:val="zh-CN"/>
        </w:rPr>
        <w:t>：</w:t>
      </w:r>
    </w:p>
    <w:p>
      <w:pPr>
        <w:tabs>
          <w:tab w:val="left" w:pos="6300"/>
        </w:tabs>
        <w:spacing w:line="520" w:lineRule="exact"/>
        <w:ind w:firstLine="720" w:firstLineChars="300"/>
        <w:rPr>
          <w:rFonts w:ascii="宋体" w:hAnsi="宋体"/>
          <w:sz w:val="24"/>
          <w:lang w:val="zh-CN"/>
        </w:rPr>
      </w:pP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（法定代表人</w:t>
      </w:r>
      <w:r>
        <w:rPr>
          <w:rFonts w:hint="eastAsia" w:ascii="宋体" w:hAnsi="宋体"/>
          <w:sz w:val="24"/>
        </w:rPr>
        <w:t>/单位负责人姓名</w:t>
      </w:r>
      <w:r>
        <w:rPr>
          <w:rFonts w:hint="eastAsia" w:ascii="宋体" w:hAnsi="宋体"/>
          <w:sz w:val="24"/>
          <w:lang w:val="zh-CN"/>
        </w:rPr>
        <w:t>）在</w:t>
      </w: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（供应商名称）处任</w:t>
      </w:r>
      <w:r>
        <w:rPr>
          <w:rFonts w:ascii="宋体" w:hAnsi="宋体"/>
          <w:sz w:val="24"/>
          <w:u w:val="single"/>
          <w:lang w:val="zh-CN"/>
        </w:rPr>
        <w:t xml:space="preserve">         </w:t>
      </w:r>
      <w:r>
        <w:rPr>
          <w:rFonts w:hint="eastAsia" w:ascii="宋体" w:hAnsi="宋体"/>
          <w:sz w:val="24"/>
          <w:lang w:val="zh-CN"/>
        </w:rPr>
        <w:t>（职务名称）</w:t>
      </w:r>
      <w:r>
        <w:rPr>
          <w:rFonts w:ascii="宋体" w:hAnsi="宋体"/>
          <w:sz w:val="24"/>
          <w:u w:val="single"/>
          <w:lang w:val="zh-CN"/>
        </w:rPr>
        <w:t xml:space="preserve">        </w:t>
      </w:r>
      <w:r>
        <w:rPr>
          <w:rFonts w:hint="eastAsia" w:ascii="宋体" w:hAnsi="宋体"/>
          <w:sz w:val="24"/>
          <w:lang w:val="zh-CN"/>
        </w:rPr>
        <w:t>职务，是</w:t>
      </w:r>
      <w:r>
        <w:rPr>
          <w:rFonts w:ascii="宋体" w:hAnsi="宋体"/>
          <w:sz w:val="24"/>
          <w:u w:val="single"/>
          <w:lang w:val="zh-CN"/>
        </w:rPr>
        <w:t xml:space="preserve">    </w:t>
      </w:r>
      <w:r>
        <w:rPr>
          <w:rFonts w:hint="eastAsia" w:ascii="宋体" w:hAnsi="宋体"/>
          <w:sz w:val="24"/>
          <w:u w:val="single"/>
        </w:rPr>
        <w:t xml:space="preserve">    </w:t>
      </w: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（供应商名称）的法定代表人</w:t>
      </w:r>
      <w:r>
        <w:rPr>
          <w:rFonts w:hint="eastAsia" w:ascii="宋体" w:hAnsi="宋体"/>
          <w:sz w:val="24"/>
        </w:rPr>
        <w:t>/单位负责人</w:t>
      </w:r>
      <w:r>
        <w:rPr>
          <w:rFonts w:hint="eastAsia" w:ascii="宋体" w:hAnsi="宋体"/>
          <w:sz w:val="24"/>
          <w:lang w:val="zh-CN"/>
        </w:rPr>
        <w:t>。</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w:t>
      </w:r>
      <w:r>
        <w:rPr>
          <w:rFonts w:hint="eastAsia" w:ascii="宋体" w:hAnsi="宋体"/>
          <w:sz w:val="24"/>
        </w:rPr>
        <w:t>/</w:t>
      </w:r>
      <w:r>
        <w:rPr>
          <w:rFonts w:hint="eastAsia" w:ascii="宋体" w:hAnsi="宋体"/>
          <w:sz w:val="24"/>
          <w:lang w:val="zh-CN"/>
        </w:rPr>
        <w:t>单位负责人联系方式：</w:t>
      </w:r>
      <w:r>
        <w:rPr>
          <w:rFonts w:ascii="宋体" w:hAnsi="宋体"/>
          <w:sz w:val="24"/>
          <w:u w:val="single"/>
          <w:lang w:val="zh-CN"/>
        </w:rPr>
        <w:t xml:space="preserve">                     </w:t>
      </w:r>
      <w:r>
        <w:rPr>
          <w:rFonts w:hint="eastAsia" w:ascii="宋体" w:hAnsi="宋体"/>
          <w:sz w:val="24"/>
          <w:lang w:val="zh-CN"/>
        </w:rPr>
        <w:t>。</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tabs>
          <w:tab w:val="left" w:pos="6300"/>
        </w:tabs>
        <w:spacing w:line="520" w:lineRule="exact"/>
        <w:rPr>
          <w:rFonts w:ascii="宋体" w:hAnsi="宋体"/>
          <w:sz w:val="24"/>
          <w:lang w:val="zh-CN"/>
        </w:rPr>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spacing w:line="520" w:lineRule="exact"/>
        <w:ind w:firstLine="480"/>
        <w:jc w:val="left"/>
        <w:rPr>
          <w:rFonts w:ascii="宋体" w:hAnsi="宋体"/>
          <w:sz w:val="24"/>
        </w:rPr>
      </w:pPr>
      <w:r>
        <w:rPr>
          <w:rFonts w:hint="eastAsia" w:ascii="宋体" w:hAnsi="宋体"/>
          <w:sz w:val="24"/>
        </w:rPr>
        <w:t>法定代表人/单位负责人（签字或加盖个人印章）：</w:t>
      </w:r>
      <w:r>
        <w:rPr>
          <w:rFonts w:hint="eastAsia" w:ascii="宋体" w:hAnsi="宋体"/>
          <w:sz w:val="24"/>
          <w:u w:val="single"/>
        </w:rPr>
        <w:t xml:space="preserve">                  </w:t>
      </w:r>
    </w:p>
    <w:p>
      <w:pPr>
        <w:spacing w:line="520" w:lineRule="exact"/>
        <w:ind w:firstLine="480" w:firstLineChars="200"/>
        <w:rPr>
          <w:rFonts w:ascii="宋体" w:hAnsi="宋体"/>
          <w:sz w:val="24"/>
          <w:lang w:val="zh-CN"/>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ascii="宋体" w:hAnsi="宋体"/>
          <w:sz w:val="24"/>
          <w:lang w:val="zh-CN"/>
        </w:rPr>
        <w:t xml:space="preserve"> </w:t>
      </w:r>
    </w:p>
    <w:p>
      <w:pPr>
        <w:tabs>
          <w:tab w:val="left" w:pos="720"/>
          <w:tab w:val="left" w:pos="6300"/>
        </w:tabs>
        <w:spacing w:line="520" w:lineRule="exact"/>
        <w:ind w:firstLine="573"/>
        <w:rPr>
          <w:rFonts w:ascii="宋体" w:hAnsi="宋体"/>
          <w:b/>
          <w:sz w:val="24"/>
          <w:lang w:val="zh-CN"/>
        </w:rPr>
      </w:pPr>
    </w:p>
    <w:p>
      <w:pPr>
        <w:tabs>
          <w:tab w:val="left" w:pos="720"/>
          <w:tab w:val="left" w:pos="6300"/>
        </w:tabs>
        <w:spacing w:line="520" w:lineRule="exact"/>
        <w:ind w:firstLine="573"/>
        <w:rPr>
          <w:rFonts w:ascii="宋体" w:hAnsi="宋体"/>
          <w:b/>
          <w:sz w:val="24"/>
        </w:rPr>
      </w:pPr>
      <w:r>
        <w:rPr>
          <w:rFonts w:hint="eastAsia" w:ascii="宋体" w:hAnsi="宋体"/>
          <w:b/>
          <w:sz w:val="24"/>
          <w:lang w:val="zh-CN"/>
        </w:rPr>
        <w:t>说明：上述证明文件在</w:t>
      </w:r>
      <w:r>
        <w:rPr>
          <w:rFonts w:hint="eastAsia" w:ascii="宋体" w:hAnsi="宋体"/>
          <w:b/>
          <w:sz w:val="24"/>
        </w:rPr>
        <w:t>响应</w:t>
      </w:r>
      <w:r>
        <w:rPr>
          <w:rFonts w:hint="eastAsia" w:ascii="宋体" w:hAnsi="宋体"/>
          <w:b/>
          <w:sz w:val="24"/>
          <w:lang w:val="zh-CN"/>
        </w:rPr>
        <w:t>文件中附有法定代表人/单位负责人身份证复印件（身份证两面均应复印）时才能生效,不允许粘贴。</w:t>
      </w:r>
    </w:p>
    <w:p>
      <w:pPr>
        <w:tabs>
          <w:tab w:val="left" w:pos="720"/>
          <w:tab w:val="left" w:pos="6300"/>
        </w:tabs>
        <w:ind w:firstLine="573"/>
        <w:rPr>
          <w:rFonts w:ascii="宋体" w:hAnsi="宋体"/>
          <w:b/>
          <w:sz w:val="24"/>
          <w:lang w:val="zh-CN"/>
        </w:rPr>
      </w:pPr>
      <w:r>
        <w:rPr>
          <w:rFonts w:hint="eastAsia"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13970" t="8890" r="9525" b="571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iFOAvZAAAACgEAAA8AAAAAAAAAAQAgAAAAIgAAAGRycy9k&#10;b3ducmV2LnhtbFBLAQIUABQAAAAIAIdO4kB83F8kOgIAAF0EAAAOAAAAAAAAAAEAIAAAACgBAABk&#10;cnMvZTJvRG9jLnhtbFBLBQYAAAAABgAGAFkBAADU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hint="eastAsia"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10795" t="8890" r="12700" b="571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jIrd9gAAAAJAQAADwAAAAAAAAABACAAAAAiAAAAZHJzL2Rv&#10;d25yZXYueG1sUEsBAhQAFAAAAAgAh07iQC7N+ZQ6AgAAXQQAAA4AAAAAAAAAAQAgAAAAJwEAAGRy&#10;cy9lMm9Eb2MueG1sUEsFBgAAAAAGAAYAWQEAANM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r>
        <w:rPr>
          <w:rFonts w:hint="eastAsia" w:ascii="宋体" w:hAnsi="宋体"/>
          <w:b/>
          <w:sz w:val="24"/>
          <w:lang w:val="zh-CN"/>
        </w:rPr>
        <w:t>法定代表人/单位负责人身份证样式(仅供参考)：</w:t>
      </w: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三、承诺函</w:t>
      </w:r>
    </w:p>
    <w:p>
      <w:pPr>
        <w:widowControl/>
        <w:spacing w:line="360" w:lineRule="atLeast"/>
        <w:jc w:val="center"/>
        <w:outlineLvl w:val="1"/>
        <w:rPr>
          <w:rFonts w:ascii="宋体" w:hAnsi="宋体"/>
          <w:b/>
          <w:sz w:val="24"/>
        </w:rPr>
      </w:pPr>
    </w:p>
    <w:p>
      <w:pPr>
        <w:spacing w:line="360" w:lineRule="auto"/>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val="en-US" w:eastAsia="zh-CN"/>
        </w:rPr>
        <w:t>人</w:t>
      </w:r>
      <w:r>
        <w:rPr>
          <w:rFonts w:hint="eastAsia" w:ascii="宋体" w:hAnsi="宋体"/>
          <w:color w:val="000000"/>
          <w:sz w:val="24"/>
        </w:rPr>
        <w:t>名称）：</w:t>
      </w:r>
    </w:p>
    <w:p>
      <w:pPr>
        <w:spacing w:line="360" w:lineRule="auto"/>
        <w:ind w:firstLine="480" w:firstLineChars="200"/>
        <w:rPr>
          <w:rFonts w:ascii="宋体" w:hAnsi="宋体"/>
          <w:color w:val="000000"/>
          <w:sz w:val="24"/>
        </w:rPr>
      </w:pPr>
      <w:r>
        <w:rPr>
          <w:rFonts w:hint="eastAsia" w:ascii="宋体" w:hAnsi="宋体"/>
          <w:color w:val="000000"/>
          <w:sz w:val="24"/>
        </w:rPr>
        <w:t>我公司作为本次采购项目的供应商，根据谈判文件要求，现郑重承诺如下：</w:t>
      </w:r>
    </w:p>
    <w:p>
      <w:pPr>
        <w:spacing w:line="360" w:lineRule="auto"/>
        <w:ind w:firstLine="480" w:firstLineChars="200"/>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pPr>
        <w:spacing w:line="360" w:lineRule="auto"/>
        <w:ind w:firstLine="480" w:firstLineChars="200"/>
        <w:rPr>
          <w:rFonts w:ascii="宋体" w:hAnsi="宋体"/>
          <w:color w:val="000000"/>
          <w:sz w:val="24"/>
        </w:rPr>
      </w:pPr>
      <w:r>
        <w:rPr>
          <w:rFonts w:hint="eastAsia" w:ascii="宋体" w:hAnsi="宋体"/>
          <w:color w:val="000000"/>
          <w:sz w:val="24"/>
        </w:rPr>
        <w:t>（一）具有独立承担民事责任的能力；</w:t>
      </w:r>
    </w:p>
    <w:p>
      <w:pPr>
        <w:spacing w:line="360" w:lineRule="auto"/>
        <w:ind w:firstLine="480" w:firstLineChars="200"/>
        <w:rPr>
          <w:rFonts w:ascii="宋体" w:hAnsi="宋体"/>
          <w:color w:val="000000"/>
          <w:sz w:val="24"/>
        </w:rPr>
      </w:pPr>
      <w:r>
        <w:rPr>
          <w:rFonts w:hint="eastAsia" w:ascii="宋体" w:hAnsi="宋体"/>
          <w:color w:val="000000"/>
          <w:sz w:val="24"/>
        </w:rPr>
        <w:t>（二）具有良好的商业信誉和健全的财务会计制度；</w:t>
      </w:r>
    </w:p>
    <w:p>
      <w:pPr>
        <w:spacing w:line="360" w:lineRule="auto"/>
        <w:ind w:firstLine="480" w:firstLineChars="200"/>
        <w:rPr>
          <w:rFonts w:ascii="宋体" w:hAnsi="宋体"/>
          <w:color w:val="000000"/>
          <w:sz w:val="24"/>
        </w:rPr>
      </w:pPr>
      <w:r>
        <w:rPr>
          <w:rFonts w:hint="eastAsia" w:ascii="宋体" w:hAnsi="宋体"/>
          <w:color w:val="000000"/>
          <w:sz w:val="24"/>
        </w:rPr>
        <w:t>（三）具有履行合同所必需的设备和专业技术能力；</w:t>
      </w:r>
    </w:p>
    <w:p>
      <w:pPr>
        <w:spacing w:line="360" w:lineRule="auto"/>
        <w:ind w:firstLine="480" w:firstLineChars="200"/>
        <w:rPr>
          <w:rFonts w:ascii="宋体" w:hAnsi="宋体"/>
          <w:color w:val="000000"/>
          <w:sz w:val="24"/>
        </w:rPr>
      </w:pPr>
      <w:r>
        <w:rPr>
          <w:rFonts w:hint="eastAsia" w:ascii="宋体" w:hAnsi="宋体"/>
          <w:color w:val="000000"/>
          <w:sz w:val="24"/>
        </w:rPr>
        <w:t>（四）有依法缴纳税收和社会保障资金的良好记录；</w:t>
      </w:r>
    </w:p>
    <w:p>
      <w:pPr>
        <w:spacing w:line="360" w:lineRule="auto"/>
        <w:ind w:firstLine="480" w:firstLineChars="200"/>
        <w:rPr>
          <w:rFonts w:ascii="宋体" w:hAnsi="宋体"/>
          <w:color w:val="000000"/>
          <w:sz w:val="24"/>
        </w:rPr>
      </w:pPr>
      <w:r>
        <w:rPr>
          <w:rFonts w:hint="eastAsia" w:ascii="宋体" w:hAnsi="宋体"/>
          <w:color w:val="000000"/>
          <w:sz w:val="24"/>
        </w:rPr>
        <w:t>（五）参加政府采购活动前三年内，在经营活动中没有重大违法记录；</w:t>
      </w:r>
    </w:p>
    <w:p>
      <w:pPr>
        <w:spacing w:line="360" w:lineRule="auto"/>
        <w:ind w:firstLine="480" w:firstLineChars="200"/>
        <w:rPr>
          <w:rFonts w:ascii="宋体" w:hAnsi="宋体"/>
          <w:color w:val="000000"/>
          <w:sz w:val="24"/>
        </w:rPr>
      </w:pPr>
      <w:r>
        <w:rPr>
          <w:rFonts w:hint="eastAsia" w:ascii="宋体" w:hAnsi="宋体"/>
          <w:color w:val="000000"/>
          <w:sz w:val="24"/>
        </w:rPr>
        <w:t>（六）法律、行政法规规定的其他条件；</w:t>
      </w:r>
    </w:p>
    <w:p>
      <w:pPr>
        <w:spacing w:line="360" w:lineRule="auto"/>
        <w:ind w:firstLine="480" w:firstLineChars="200"/>
        <w:rPr>
          <w:rFonts w:ascii="宋体" w:hAnsi="宋体"/>
          <w:color w:val="000000"/>
          <w:sz w:val="24"/>
        </w:rPr>
      </w:pPr>
      <w:r>
        <w:rPr>
          <w:rFonts w:hint="eastAsia" w:ascii="宋体" w:hAnsi="宋体"/>
          <w:color w:val="000000"/>
          <w:sz w:val="24"/>
        </w:rPr>
        <w:t>（七）我单位</w:t>
      </w:r>
      <w:r>
        <w:rPr>
          <w:rFonts w:hint="eastAsia" w:ascii="宋体" w:hAnsi="宋体" w:cs="宋体"/>
          <w:sz w:val="24"/>
        </w:rPr>
        <w:t>及其法定代表人/主要负责人在参加本项目政府采购活动前三年无行贿犯罪记录</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（八）根据采购项目提出的特殊条件。</w:t>
      </w:r>
    </w:p>
    <w:p>
      <w:pPr>
        <w:spacing w:line="360" w:lineRule="auto"/>
        <w:ind w:firstLine="480" w:firstLineChars="200"/>
        <w:rPr>
          <w:rFonts w:ascii="宋体" w:hAnsi="宋体"/>
          <w:color w:val="000000"/>
          <w:sz w:val="24"/>
        </w:rPr>
      </w:pPr>
      <w:r>
        <w:rPr>
          <w:rFonts w:hint="eastAsia" w:ascii="宋体" w:hAnsi="宋体"/>
          <w:color w:val="000000"/>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360" w:lineRule="auto"/>
        <w:ind w:firstLine="480" w:firstLineChars="200"/>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pPr>
        <w:spacing w:line="360" w:lineRule="auto"/>
        <w:ind w:firstLine="480" w:firstLineChars="200"/>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olor w:val="000000"/>
          <w:sz w:val="24"/>
        </w:rPr>
      </w:pPr>
      <w:r>
        <w:rPr>
          <w:rFonts w:hint="eastAsia" w:ascii="宋体" w:hAnsi="宋体"/>
          <w:color w:val="000000"/>
          <w:sz w:val="24"/>
        </w:rPr>
        <w:t>五、如果有《四川省政府采购当事人诚信管理办法》（川财采[2015]33号）规定的记入诚信档案的失信行为，将在响应文件中全面如实反映。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pPr>
        <w:spacing w:line="360" w:lineRule="auto"/>
        <w:ind w:firstLine="480" w:firstLineChars="200"/>
        <w:rPr>
          <w:rFonts w:ascii="宋体" w:hAnsi="宋体"/>
          <w:color w:val="000000"/>
          <w:sz w:val="24"/>
        </w:rPr>
      </w:pPr>
      <w:r>
        <w:rPr>
          <w:rFonts w:hint="eastAsia" w:ascii="宋体" w:hAnsi="宋体"/>
          <w:color w:val="000000"/>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widowControl/>
        <w:spacing w:line="360" w:lineRule="auto"/>
        <w:ind w:firstLine="480" w:firstLineChars="200"/>
        <w:jc w:val="left"/>
        <w:outlineLvl w:val="1"/>
        <w:rPr>
          <w:rFonts w:ascii="宋体" w:hAnsi="宋体" w:cs="宋体"/>
          <w:sz w:val="24"/>
        </w:rPr>
      </w:pPr>
      <w:r>
        <w:rPr>
          <w:rFonts w:hint="eastAsia" w:ascii="宋体" w:hAnsi="宋体"/>
          <w:color w:val="000000"/>
          <w:sz w:val="24"/>
        </w:rPr>
        <w:t>八、</w:t>
      </w:r>
      <w:r>
        <w:rPr>
          <w:rFonts w:hint="eastAsia" w:ascii="宋体" w:hAnsi="宋体" w:cs="宋体"/>
          <w:sz w:val="24"/>
        </w:rPr>
        <w:t>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九、参加本次采购活动，我方完全同意谈判文件第二章关于“谈判费用”、“合同分包”、“合同转包”、“谈判保证金”的实质性要求，并承诺严格按照谈判文件要求履行。</w:t>
      </w:r>
    </w:p>
    <w:p>
      <w:pPr>
        <w:spacing w:line="360" w:lineRule="auto"/>
        <w:ind w:firstLine="480" w:firstLineChars="200"/>
        <w:rPr>
          <w:rFonts w:ascii="宋体" w:hAnsi="宋体"/>
          <w:color w:val="000000"/>
          <w:sz w:val="24"/>
        </w:rPr>
      </w:pPr>
      <w:r>
        <w:rPr>
          <w:rFonts w:hint="eastAsia" w:ascii="宋体" w:hAnsi="宋体" w:cs="宋体"/>
          <w:sz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8"/>
        <w:spacing w:line="360" w:lineRule="auto"/>
      </w:pPr>
    </w:p>
    <w:p>
      <w:pPr>
        <w:widowControl/>
        <w:spacing w:line="360" w:lineRule="auto"/>
        <w:ind w:firstLine="470" w:firstLineChars="196"/>
        <w:jc w:val="left"/>
        <w:outlineLvl w:val="1"/>
        <w:rPr>
          <w:rFonts w:ascii="宋体" w:hAnsi="宋体"/>
          <w:color w:val="000000"/>
          <w:sz w:val="24"/>
        </w:rPr>
      </w:pPr>
      <w:r>
        <w:rPr>
          <w:rFonts w:hint="eastAsia" w:ascii="宋体" w:hAnsi="宋体"/>
          <w:color w:val="000000"/>
          <w:sz w:val="24"/>
        </w:rPr>
        <w:t>本公司对上述承诺的内容事项真实性负责。如经</w:t>
      </w:r>
      <w:r>
        <w:rPr>
          <w:rFonts w:hint="eastAsia" w:ascii="宋体" w:hAnsi="宋体"/>
          <w:sz w:val="24"/>
        </w:rPr>
        <w:t>查实上述承诺的内容事项存在虚假，我公司愿意接受以提供虚假材料谋取成交的法</w:t>
      </w:r>
      <w:r>
        <w:rPr>
          <w:rFonts w:hint="eastAsia" w:ascii="宋体" w:hAnsi="宋体"/>
          <w:color w:val="000000"/>
          <w:sz w:val="24"/>
        </w:rPr>
        <w:t>律责任。</w:t>
      </w:r>
    </w:p>
    <w:p>
      <w:pPr>
        <w:pStyle w:val="48"/>
      </w:pPr>
    </w:p>
    <w:p>
      <w:pPr>
        <w:pStyle w:val="48"/>
        <w:spacing w:line="360" w:lineRule="auto"/>
      </w:pPr>
    </w:p>
    <w:p>
      <w:pPr>
        <w:spacing w:line="360" w:lineRule="auto"/>
        <w:ind w:firstLine="480" w:firstLineChars="200"/>
        <w:rPr>
          <w:rFonts w:ascii="宋体" w:hAnsi="宋体"/>
          <w:color w:val="000000"/>
          <w:sz w:val="24"/>
        </w:rPr>
      </w:pPr>
      <w:r>
        <w:rPr>
          <w:rFonts w:hint="eastAsia" w:ascii="宋体" w:hAnsi="宋体"/>
          <w:color w:val="000000"/>
          <w:sz w:val="24"/>
        </w:rPr>
        <w:t>法定代表人/单位负责人（签字或加盖个人印章）：</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授权代表签字：</w:t>
      </w:r>
      <w:r>
        <w:rPr>
          <w:rFonts w:hint="eastAsia" w:ascii="宋体" w:hAnsi="宋体"/>
          <w:color w:val="000000"/>
          <w:sz w:val="24"/>
          <w:u w:val="single"/>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pStyle w:val="48"/>
        <w:spacing w:line="360" w:lineRule="auto"/>
        <w:rPr>
          <w:rFonts w:hAnsi="宋体"/>
          <w:kern w:val="2"/>
          <w:u w:val="single"/>
        </w:rPr>
      </w:pPr>
      <w:r>
        <w:rPr>
          <w:rFonts w:hint="eastAsia" w:hAnsi="宋体"/>
          <w:kern w:val="2"/>
        </w:rPr>
        <w:t xml:space="preserve">    日    期： </w:t>
      </w:r>
      <w:r>
        <w:rPr>
          <w:rFonts w:hint="eastAsia" w:hAnsi="宋体"/>
          <w:kern w:val="2"/>
          <w:u w:val="single"/>
        </w:rPr>
        <w:t xml:space="preserve">                     </w:t>
      </w:r>
    </w:p>
    <w:p>
      <w:pPr>
        <w:widowControl/>
        <w:jc w:val="left"/>
        <w:rPr>
          <w:rFonts w:ascii="宋体" w:hAnsi="宋体"/>
          <w:b/>
          <w:sz w:val="32"/>
          <w:szCs w:val="32"/>
        </w:rPr>
      </w:pPr>
      <w:r>
        <w:rPr>
          <w:rFonts w:ascii="宋体" w:hAnsi="宋体"/>
          <w:b/>
          <w:sz w:val="32"/>
          <w:szCs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四、供应商和谈判其他资格、资质性及其他类似效力要求的相关证明材料</w:t>
      </w:r>
    </w:p>
    <w:p>
      <w:pPr>
        <w:spacing w:line="400" w:lineRule="exact"/>
        <w:ind w:firstLine="480" w:firstLineChars="200"/>
        <w:rPr>
          <w:rFonts w:ascii="宋体" w:hAnsi="宋体" w:cs="宋体"/>
          <w:bCs/>
          <w:sz w:val="24"/>
        </w:rPr>
      </w:pPr>
      <w:r>
        <w:rPr>
          <w:rFonts w:hint="eastAsia" w:ascii="宋体" w:hAnsi="宋体" w:cs="宋体"/>
          <w:bCs/>
          <w:sz w:val="24"/>
        </w:rPr>
        <w:t>注：供应商应按谈判文件第三章、第四章相关要求提供佐证材料，有格式要求的从其要求，无格式要求的格式自拟。</w:t>
      </w:r>
    </w:p>
    <w:p>
      <w:pPr>
        <w:widowControl/>
        <w:jc w:val="left"/>
        <w:rPr>
          <w:rFonts w:ascii="宋体" w:hAnsi="宋体"/>
          <w:b/>
          <w:sz w:val="32"/>
          <w:szCs w:val="32"/>
        </w:rPr>
      </w:pPr>
      <w:r>
        <w:rPr>
          <w:rFonts w:ascii="宋体" w:hAnsi="宋体"/>
          <w:b/>
          <w:sz w:val="32"/>
          <w:szCs w:val="32"/>
        </w:rPr>
        <w:br w:type="page"/>
      </w:r>
    </w:p>
    <w:p>
      <w:pPr>
        <w:tabs>
          <w:tab w:val="left" w:pos="900"/>
        </w:tabs>
        <w:spacing w:line="360" w:lineRule="auto"/>
        <w:jc w:val="center"/>
        <w:rPr>
          <w:rFonts w:ascii="宋体" w:hAnsi="宋体"/>
          <w:b/>
          <w:sz w:val="32"/>
        </w:rPr>
      </w:pPr>
      <w:r>
        <w:rPr>
          <w:rFonts w:ascii="宋体" w:hAnsi="宋体"/>
          <w:b/>
          <w:sz w:val="32"/>
        </w:rPr>
        <w:t>第</w:t>
      </w:r>
      <w:r>
        <w:rPr>
          <w:rFonts w:hint="eastAsia" w:ascii="宋体" w:hAnsi="宋体"/>
          <w:b/>
          <w:sz w:val="32"/>
        </w:rPr>
        <w:t>二</w:t>
      </w:r>
      <w:r>
        <w:rPr>
          <w:rFonts w:ascii="宋体" w:hAnsi="宋体"/>
          <w:b/>
          <w:sz w:val="32"/>
        </w:rPr>
        <w:t xml:space="preserve">部分     </w:t>
      </w:r>
      <w:r>
        <w:rPr>
          <w:rFonts w:hint="eastAsia" w:ascii="宋体" w:hAnsi="宋体"/>
          <w:b/>
          <w:sz w:val="32"/>
        </w:rPr>
        <w:t>“其他响应性</w:t>
      </w:r>
      <w:r>
        <w:rPr>
          <w:rFonts w:ascii="宋体" w:hAnsi="宋体"/>
          <w:b/>
          <w:sz w:val="32"/>
        </w:rPr>
        <w:t>文件</w:t>
      </w:r>
      <w:r>
        <w:rPr>
          <w:rFonts w:hint="eastAsia" w:ascii="宋体" w:hAnsi="宋体"/>
          <w:b/>
          <w:sz w:val="32"/>
        </w:rPr>
        <w:t>”</w:t>
      </w:r>
      <w:r>
        <w:rPr>
          <w:rFonts w:ascii="宋体" w:hAnsi="宋体"/>
          <w:b/>
          <w:sz w:val="32"/>
        </w:rPr>
        <w:t>格式</w:t>
      </w:r>
    </w:p>
    <w:p>
      <w:pPr>
        <w:spacing w:line="360" w:lineRule="auto"/>
        <w:rPr>
          <w:rFonts w:ascii="宋体" w:hAnsi="宋体"/>
          <w:b/>
          <w:sz w:val="32"/>
          <w:szCs w:val="32"/>
        </w:rPr>
      </w:pPr>
      <w:r>
        <w:rPr>
          <w:rFonts w:hint="eastAsia" w:ascii="宋体" w:hAnsi="宋体"/>
          <w:b/>
          <w:sz w:val="32"/>
          <w:szCs w:val="32"/>
        </w:rPr>
        <w:t>格式2-1</w:t>
      </w: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pStyle w:val="48"/>
        <w:ind w:firstLine="1044"/>
        <w:rPr>
          <w:rFonts w:hAnsi="宋体"/>
          <w:b/>
          <w:sz w:val="52"/>
          <w:szCs w:val="52"/>
        </w:rPr>
      </w:pPr>
    </w:p>
    <w:p>
      <w:pPr>
        <w:pStyle w:val="48"/>
        <w:ind w:firstLine="480"/>
      </w:pPr>
    </w:p>
    <w:p>
      <w:pPr>
        <w:spacing w:line="360" w:lineRule="auto"/>
        <w:jc w:val="center"/>
        <w:rPr>
          <w:rFonts w:ascii="宋体" w:hAnsi="宋体"/>
          <w:b/>
          <w:sz w:val="32"/>
          <w:szCs w:val="32"/>
        </w:rPr>
      </w:pPr>
      <w:r>
        <w:rPr>
          <w:rFonts w:hint="eastAsia" w:ascii="宋体" w:hAnsi="宋体"/>
          <w:b/>
          <w:sz w:val="52"/>
          <w:szCs w:val="52"/>
        </w:rPr>
        <w:t>其他响应性文件</w:t>
      </w:r>
    </w:p>
    <w:p>
      <w:pPr>
        <w:spacing w:line="360" w:lineRule="auto"/>
        <w:rPr>
          <w:rFonts w:ascii="宋体" w:hAnsi="宋体"/>
          <w:b/>
          <w:sz w:val="36"/>
        </w:rPr>
      </w:pPr>
    </w:p>
    <w:p>
      <w:pPr>
        <w:spacing w:line="360" w:lineRule="auto"/>
        <w:rPr>
          <w:rFonts w:ascii="宋体" w:hAnsi="宋体"/>
          <w:b/>
          <w:sz w:val="36"/>
        </w:rPr>
      </w:pPr>
    </w:p>
    <w:p>
      <w:pPr>
        <w:spacing w:line="360" w:lineRule="auto"/>
        <w:ind w:firstLine="964" w:firstLineChars="300"/>
        <w:jc w:val="left"/>
        <w:rPr>
          <w:rFonts w:ascii="宋体" w:hAnsi="宋体"/>
          <w:b/>
          <w:sz w:val="32"/>
          <w:u w:val="single"/>
        </w:rPr>
      </w:pPr>
      <w:r>
        <w:rPr>
          <w:rFonts w:ascii="宋体" w:hAnsi="宋体"/>
          <w:b/>
          <w:sz w:val="32"/>
        </w:rPr>
        <w:t>供</w:t>
      </w:r>
      <w:r>
        <w:rPr>
          <w:rFonts w:hint="eastAsia" w:ascii="宋体" w:hAnsi="宋体"/>
          <w:b/>
          <w:sz w:val="32"/>
        </w:rPr>
        <w:t xml:space="preserve"> </w:t>
      </w:r>
      <w:r>
        <w:rPr>
          <w:rFonts w:ascii="宋体" w:hAnsi="宋体"/>
          <w:b/>
          <w:sz w:val="32"/>
        </w:rPr>
        <w:t>应</w:t>
      </w:r>
      <w:r>
        <w:rPr>
          <w:rFonts w:hint="eastAsia" w:ascii="宋体" w:hAnsi="宋体"/>
          <w:b/>
          <w:sz w:val="32"/>
        </w:rPr>
        <w:t xml:space="preserve"> </w:t>
      </w:r>
      <w:r>
        <w:rPr>
          <w:rFonts w:ascii="宋体" w:hAnsi="宋体"/>
          <w:b/>
          <w:sz w:val="32"/>
        </w:rPr>
        <w:t>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964" w:firstLineChars="300"/>
        <w:jc w:val="left"/>
        <w:rPr>
          <w:rFonts w:ascii="宋体" w:hAnsi="宋体"/>
          <w:b/>
          <w:sz w:val="32"/>
          <w:u w:val="single"/>
        </w:rPr>
      </w:pPr>
      <w:r>
        <w:rPr>
          <w:rFonts w:hint="eastAsia" w:ascii="宋体" w:hAnsi="宋体"/>
          <w:b/>
          <w:sz w:val="32"/>
        </w:rPr>
        <w:t>采购项目</w:t>
      </w:r>
      <w:r>
        <w:rPr>
          <w:rFonts w:ascii="宋体" w:hAnsi="宋体"/>
          <w:b/>
          <w:sz w:val="32"/>
        </w:rPr>
        <w:t>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964" w:firstLineChars="300"/>
        <w:jc w:val="left"/>
        <w:rPr>
          <w:rFonts w:ascii="宋体" w:hAnsi="宋体"/>
          <w:b/>
          <w:sz w:val="32"/>
          <w:u w:val="single"/>
        </w:rPr>
      </w:pPr>
      <w:r>
        <w:rPr>
          <w:rFonts w:hint="eastAsia" w:ascii="宋体" w:hAnsi="宋体"/>
          <w:b/>
          <w:sz w:val="32"/>
        </w:rPr>
        <w:t>包        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jc w:val="left"/>
        <w:rPr>
          <w:rFonts w:ascii="宋体" w:hAnsi="宋体"/>
          <w:b/>
          <w:sz w:val="32"/>
          <w:szCs w:val="32"/>
        </w:rPr>
      </w:pPr>
    </w:p>
    <w:p>
      <w:pPr>
        <w:spacing w:line="360" w:lineRule="auto"/>
        <w:ind w:firstLine="790" w:firstLineChars="246"/>
        <w:jc w:val="center"/>
        <w:rPr>
          <w:rFonts w:ascii="宋体" w:hAnsi="宋体"/>
          <w:b/>
          <w:sz w:val="32"/>
        </w:rPr>
      </w:pPr>
      <w:r>
        <w:rPr>
          <w:rFonts w:hint="eastAsia" w:ascii="宋体" w:hAnsi="宋体"/>
          <w:b/>
          <w:sz w:val="32"/>
        </w:rPr>
        <w:t>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widowControl/>
        <w:jc w:val="left"/>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一、报 价 函</w:t>
      </w:r>
      <w:bookmarkEnd w:id="28"/>
      <w:bookmarkEnd w:id="29"/>
    </w:p>
    <w:p>
      <w:pPr>
        <w:widowControl/>
        <w:spacing w:line="360" w:lineRule="auto"/>
        <w:jc w:val="center"/>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p>
      <w:pPr>
        <w:widowControl/>
        <w:spacing w:line="360" w:lineRule="auto"/>
        <w:ind w:firstLine="470" w:firstLineChars="196"/>
        <w:jc w:val="left"/>
        <w:outlineLvl w:val="1"/>
        <w:rPr>
          <w:rFonts w:ascii="宋体" w:hAnsi="宋体"/>
          <w:sz w:val="24"/>
        </w:rPr>
      </w:pPr>
      <w:r>
        <w:rPr>
          <w:rFonts w:hint="eastAsia" w:ascii="宋体" w:hAnsi="宋体"/>
          <w:sz w:val="24"/>
        </w:rPr>
        <w:t>我方全面研究了“</w:t>
      </w:r>
      <w:r>
        <w:rPr>
          <w:rFonts w:hint="eastAsia" w:ascii="宋体" w:hAnsi="宋体"/>
          <w:b/>
          <w:sz w:val="40"/>
          <w:szCs w:val="48"/>
          <w:u w:val="single"/>
        </w:rPr>
        <w:t xml:space="preserve">      </w:t>
      </w:r>
      <w:r>
        <w:rPr>
          <w:rFonts w:hint="eastAsia" w:ascii="宋体" w:hAnsi="宋体"/>
          <w:sz w:val="24"/>
        </w:rPr>
        <w:t>”（项目名称）（项目编号：</w:t>
      </w:r>
      <w:r>
        <w:rPr>
          <w:rFonts w:hint="eastAsia" w:ascii="宋体" w:hAnsi="宋体"/>
          <w:b/>
          <w:sz w:val="40"/>
          <w:szCs w:val="48"/>
          <w:u w:val="single"/>
        </w:rPr>
        <w:t xml:space="preserve">      </w:t>
      </w:r>
      <w:r>
        <w:rPr>
          <w:rFonts w:hint="eastAsia" w:ascii="宋体" w:hAnsi="宋体"/>
          <w:sz w:val="24"/>
        </w:rPr>
        <w:t>）竞争性谈判文件，决定参加贵单位组织的本项目谈判。</w:t>
      </w:r>
    </w:p>
    <w:p>
      <w:pPr>
        <w:widowControl/>
        <w:spacing w:line="360" w:lineRule="auto"/>
        <w:ind w:firstLine="470" w:firstLineChars="196"/>
        <w:jc w:val="left"/>
        <w:outlineLvl w:val="1"/>
        <w:rPr>
          <w:rFonts w:ascii="宋体"/>
          <w:sz w:val="24"/>
        </w:rPr>
      </w:pPr>
      <w:r>
        <w:rPr>
          <w:rFonts w:hint="eastAsia" w:ascii="宋体" w:hAnsi="宋体"/>
          <w:sz w:val="24"/>
        </w:rPr>
        <w:t>一、我方自愿按照采购文件规定的各项要求向采购人提供所需</w:t>
      </w:r>
      <w:r>
        <w:rPr>
          <w:rFonts w:hint="eastAsia" w:ascii="宋体" w:hAnsi="宋体" w:eastAsia="宋体" w:cs="Times New Roman"/>
          <w:b/>
          <w:sz w:val="24"/>
          <w:u w:val="single"/>
          <w:lang w:val="en-US" w:eastAsia="zh-CN"/>
        </w:rPr>
        <w:t>监理</w:t>
      </w:r>
      <w:r>
        <w:rPr>
          <w:rFonts w:hint="eastAsia" w:ascii="宋体" w:hAnsi="宋体" w:eastAsia="宋体" w:cs="Times New Roman"/>
          <w:b/>
          <w:sz w:val="24"/>
          <w:u w:val="single"/>
        </w:rPr>
        <w:t>服</w:t>
      </w:r>
      <w:r>
        <w:rPr>
          <w:rFonts w:hint="eastAsia" w:ascii="宋体" w:hAnsi="宋体"/>
          <w:b/>
          <w:sz w:val="24"/>
          <w:u w:val="single"/>
        </w:rPr>
        <w:t>务</w:t>
      </w:r>
      <w:r>
        <w:rPr>
          <w:rFonts w:hint="eastAsia" w:ascii="宋体" w:hAnsi="宋体"/>
          <w:sz w:val="24"/>
        </w:rPr>
        <w:t>，总报价为人民币</w:t>
      </w:r>
      <w:r>
        <w:rPr>
          <w:rFonts w:hint="eastAsia" w:ascii="宋体"/>
          <w:sz w:val="24"/>
          <w:u w:val="single"/>
        </w:rPr>
        <w:t xml:space="preserve">          </w:t>
      </w:r>
      <w:r>
        <w:rPr>
          <w:rFonts w:hint="eastAsia" w:ascii="宋体"/>
          <w:sz w:val="24"/>
        </w:rPr>
        <w:t>元（大写：</w:t>
      </w:r>
      <w:r>
        <w:rPr>
          <w:rFonts w:hint="eastAsia" w:ascii="宋体"/>
          <w:sz w:val="24"/>
          <w:u w:val="single"/>
        </w:rPr>
        <w:t xml:space="preserve">            </w:t>
      </w:r>
      <w:r>
        <w:rPr>
          <w:rFonts w:hint="eastAsia" w:asci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二、一旦我方成交，我方将严格履行采购合同规定的责任和义务。</w:t>
      </w:r>
    </w:p>
    <w:p>
      <w:pPr>
        <w:widowControl/>
        <w:spacing w:line="360" w:lineRule="auto"/>
        <w:ind w:firstLine="470" w:firstLineChars="196"/>
        <w:jc w:val="left"/>
        <w:outlineLvl w:val="1"/>
        <w:rPr>
          <w:rFonts w:ascii="宋体" w:hAnsi="宋体"/>
          <w:sz w:val="24"/>
        </w:rPr>
      </w:pPr>
      <w:r>
        <w:rPr>
          <w:rFonts w:hint="eastAsia" w:ascii="宋体" w:hAnsi="宋体"/>
          <w:sz w:val="24"/>
        </w:rPr>
        <w:t>三、我方同意本谈判文件依据《四川省政府采购当事人诚信管理办法》（川财采〔2015〕33号文件）对我方可能存在的失信行为进行惩戒。</w:t>
      </w:r>
    </w:p>
    <w:p>
      <w:pPr>
        <w:widowControl/>
        <w:spacing w:line="360" w:lineRule="auto"/>
        <w:ind w:firstLine="470" w:firstLineChars="196"/>
        <w:jc w:val="left"/>
        <w:outlineLvl w:val="1"/>
        <w:rPr>
          <w:rFonts w:ascii="宋体" w:hAnsi="宋体"/>
          <w:sz w:val="24"/>
        </w:rPr>
      </w:pPr>
      <w:r>
        <w:rPr>
          <w:rFonts w:hint="eastAsia" w:ascii="宋体" w:hAnsi="宋体"/>
          <w:sz w:val="24"/>
        </w:rPr>
        <w:t>四、我方为本项目提交的响应文件正本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份，电子文档</w:t>
      </w:r>
      <w:r>
        <w:rPr>
          <w:rFonts w:hint="eastAsia" w:ascii="宋体" w:hAnsi="宋体"/>
          <w:sz w:val="24"/>
          <w:u w:val="single"/>
        </w:rPr>
        <w:t xml:space="preserve">    </w:t>
      </w:r>
      <w:r>
        <w:rPr>
          <w:rFonts w:hint="eastAsia" w:ascii="宋体" w:hAnsi="宋体"/>
          <w:sz w:val="24"/>
        </w:rPr>
        <w:t>份用于谈判报价。</w:t>
      </w:r>
    </w:p>
    <w:p>
      <w:pPr>
        <w:widowControl/>
        <w:spacing w:line="360" w:lineRule="auto"/>
        <w:ind w:firstLine="470" w:firstLineChars="196"/>
        <w:jc w:val="left"/>
        <w:outlineLvl w:val="1"/>
        <w:rPr>
          <w:rFonts w:ascii="宋体" w:hAnsi="宋体"/>
          <w:sz w:val="24"/>
        </w:rPr>
      </w:pPr>
      <w:r>
        <w:rPr>
          <w:rFonts w:hint="eastAsia" w:ascii="宋体" w:hAnsi="宋体"/>
          <w:sz w:val="24"/>
        </w:rPr>
        <w:t>五、</w:t>
      </w:r>
      <w:r>
        <w:rPr>
          <w:rFonts w:hint="eastAsia" w:ascii="宋体" w:hAnsi="宋体"/>
          <w:color w:val="000000"/>
          <w:sz w:val="24"/>
        </w:rPr>
        <w:t>我方愿意提供贵单位可能另外要求的，与谈判报价有关的文件资料，并保证我方已提供和将要提供的文件资料是真实、准确的。</w:t>
      </w:r>
    </w:p>
    <w:p>
      <w:pPr>
        <w:widowControl/>
        <w:spacing w:line="360" w:lineRule="auto"/>
        <w:ind w:firstLine="470" w:firstLineChars="196"/>
        <w:jc w:val="left"/>
        <w:outlineLvl w:val="1"/>
        <w:rPr>
          <w:rFonts w:ascii="宋体" w:hAnsi="宋体"/>
          <w:sz w:val="24"/>
        </w:rPr>
      </w:pPr>
      <w:r>
        <w:rPr>
          <w:rFonts w:hint="eastAsia" w:ascii="宋体" w:hAnsi="宋体"/>
          <w:sz w:val="24"/>
        </w:rPr>
        <w:t>六、</w:t>
      </w:r>
      <w:r>
        <w:rPr>
          <w:rFonts w:hint="eastAsia" w:ascii="宋体" w:hAnsi="宋体"/>
          <w:color w:val="000000"/>
          <w:sz w:val="24"/>
        </w:rPr>
        <w:t>本次谈判，我方递交的响应文件有效期为谈判文件规定起算之日起</w:t>
      </w:r>
      <w:r>
        <w:rPr>
          <w:rFonts w:hint="eastAsia" w:ascii="宋体" w:hAnsi="宋体"/>
          <w:color w:val="000000"/>
          <w:sz w:val="24"/>
          <w:u w:val="single"/>
        </w:rPr>
        <w:t xml:space="preserve">    </w:t>
      </w:r>
      <w:r>
        <w:rPr>
          <w:rFonts w:hint="eastAsia" w:ascii="宋体" w:hAnsi="宋体"/>
          <w:color w:val="000000"/>
          <w:sz w:val="24"/>
        </w:rPr>
        <w:t>天。</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通讯地址：</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邮政编码：</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联系电话：</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传    真：</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日    期：</w:t>
      </w:r>
      <w:r>
        <w:rPr>
          <w:rFonts w:hint="eastAsia" w:ascii="宋体" w:hAnsi="宋体"/>
          <w:b/>
          <w:sz w:val="40"/>
          <w:szCs w:val="48"/>
          <w:u w:val="single"/>
        </w:rPr>
        <w:t xml:space="preserve">      </w:t>
      </w:r>
      <w:r>
        <w:rPr>
          <w:rFonts w:hint="eastAsia" w:ascii="宋体" w:hAnsi="宋体"/>
          <w:sz w:val="24"/>
        </w:rPr>
        <w:t>。</w:t>
      </w:r>
    </w:p>
    <w:p>
      <w:pPr>
        <w:spacing w:line="360" w:lineRule="auto"/>
        <w:rPr>
          <w:rFonts w:ascii="宋体" w:hAnsi="宋体"/>
          <w:b/>
          <w:sz w:val="32"/>
          <w:szCs w:val="32"/>
        </w:rPr>
      </w:pPr>
      <w:bookmarkStart w:id="36" w:name="_Toc308164824"/>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二、承诺函（实质性要求）</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p>
      <w:pPr>
        <w:widowControl/>
        <w:spacing w:line="360" w:lineRule="auto"/>
        <w:ind w:firstLine="480" w:firstLineChars="200"/>
        <w:jc w:val="left"/>
        <w:outlineLvl w:val="1"/>
        <w:rPr>
          <w:rFonts w:ascii="宋体" w:hAnsi="宋体"/>
          <w:sz w:val="24"/>
        </w:rPr>
      </w:pPr>
      <w:r>
        <w:rPr>
          <w:rFonts w:hint="eastAsia" w:ascii="宋体" w:hAnsi="宋体"/>
          <w:sz w:val="24"/>
        </w:rPr>
        <w:t>我单位作为本次采购项目的供应商，根据竞争性谈判文件要求，现郑重承诺如下：</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一、我方已认真阅读并接受本项目竞争性谈判文件全部实质性要求，如对竞争性谈判文件有异议，已依法进行维权救济，不存在对竞争性谈判文件有异议的同时又参加谈判以求侥幸成交或者为实现其他非法目的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二、参加本次招标采购活动，不存在与单位负责人为同一人或者存在直接控股、管理关系的其他供应商参与同一合同项下的采购活动的行为。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三、为采购项目提供整体设计、规范编制或者项目管理、监理、检测等服务的供应商，不得再参加该采购项目的其他采购活动，我方承诺不属于此类禁止参加本项目的供应商。</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四、参加本次采购活动，不存在和其他供应商在同一合同项下的采购项目中，同时委托同一个自然人、同一家庭的人员、同一单位的人员作为代理人的行为。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五、我方实际控制人或者中高级管理人员或者其他工作人员，不存在同时是采购代理机构工作人员的情形。</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六、不存在同一母公司的两家以上的子公司，以不同供应商身份同时参加本项目同一合同项下的采购活动的情形。</w:t>
      </w:r>
    </w:p>
    <w:p>
      <w:pPr>
        <w:widowControl/>
        <w:spacing w:line="360" w:lineRule="auto"/>
        <w:ind w:firstLine="480" w:firstLineChars="200"/>
        <w:jc w:val="left"/>
        <w:outlineLvl w:val="1"/>
      </w:pPr>
      <w:r>
        <w:rPr>
          <w:rFonts w:hint="eastAsia" w:ascii="宋体" w:hAnsi="宋体" w:cs="宋体"/>
          <w:sz w:val="24"/>
        </w:rPr>
        <w:t>七、我方与采购代理机构不存在关联关系，也不是采购代理机构的母公司或子公司。</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八、如果有《四川省政府采购当事人诚信管理办法》（川财采[2015]33号）规定的记入诚信档案的失信行为，将在响应文件中全面如实反映。</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九、响应文件中提供的任何资料和技术、服务、商务等响应承诺情况都是真实的、有效的、合法的。</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十一、国家或行业主管部门对采购产品的技术标准、质量标准和资格资质条件等有强制性规定的，我方承诺符合其要求。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十二、参加本次采购活动，我方完全同意谈判文件第二章关于“谈判费用”、“合同分包”、“合同转包”、“履约保证金”的实质性要求，并承诺严格按照谈判文件要求履行。</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b/>
          <w:sz w:val="32"/>
          <w:szCs w:val="32"/>
        </w:rPr>
        <w:br w:type="page"/>
      </w:r>
    </w:p>
    <w:bookmarkEnd w:id="25"/>
    <w:bookmarkEnd w:id="36"/>
    <w:p>
      <w:pPr>
        <w:spacing w:line="400" w:lineRule="exact"/>
        <w:ind w:firstLine="643" w:firstLineChars="200"/>
        <w:jc w:val="center"/>
        <w:rPr>
          <w:rFonts w:ascii="宋体" w:hAnsi="宋体"/>
          <w:b/>
          <w:sz w:val="32"/>
          <w:szCs w:val="32"/>
        </w:rPr>
      </w:pPr>
      <w:bookmarkStart w:id="37" w:name="_Toc217446085"/>
      <w:r>
        <w:rPr>
          <w:rFonts w:hint="eastAsia" w:ascii="宋体" w:hAnsi="宋体"/>
          <w:b/>
          <w:sz w:val="32"/>
          <w:szCs w:val="32"/>
        </w:rPr>
        <w:t>三、</w:t>
      </w:r>
      <w:bookmarkEnd w:id="37"/>
      <w:r>
        <w:rPr>
          <w:rFonts w:hint="eastAsia" w:ascii="宋体" w:hAnsi="宋体" w:cs="宋体"/>
          <w:b/>
          <w:bCs/>
          <w:sz w:val="28"/>
          <w:szCs w:val="28"/>
        </w:rPr>
        <w:t>报价表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480" w:lineRule="exact"/>
        <w:ind w:firstLine="436" w:firstLineChars="182"/>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2740" w:type="dxa"/>
            <w:gridSpan w:val="2"/>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036"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服务期限</w:t>
            </w:r>
          </w:p>
        </w:tc>
        <w:tc>
          <w:tcPr>
            <w:tcW w:w="3625"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2740" w:type="dxa"/>
            <w:gridSpan w:val="2"/>
            <w:vAlign w:val="center"/>
          </w:tcPr>
          <w:p>
            <w:pPr>
              <w:widowControl/>
              <w:spacing w:line="360" w:lineRule="auto"/>
              <w:jc w:val="center"/>
              <w:rPr>
                <w:rFonts w:ascii="宋体" w:hAnsi="宋体" w:cs="宋体"/>
                <w:bCs/>
                <w:color w:val="000000"/>
                <w:kern w:val="0"/>
                <w:sz w:val="24"/>
              </w:rPr>
            </w:pPr>
          </w:p>
        </w:tc>
        <w:tc>
          <w:tcPr>
            <w:tcW w:w="2036" w:type="dxa"/>
            <w:vAlign w:val="center"/>
          </w:tcPr>
          <w:p>
            <w:pPr>
              <w:spacing w:line="360" w:lineRule="auto"/>
              <w:jc w:val="center"/>
              <w:rPr>
                <w:rFonts w:ascii="宋体" w:hAnsi="宋体" w:cs="宋体"/>
                <w:bCs/>
                <w:color w:val="000000"/>
                <w:kern w:val="0"/>
                <w:sz w:val="24"/>
              </w:rPr>
            </w:pPr>
          </w:p>
        </w:tc>
        <w:tc>
          <w:tcPr>
            <w:tcW w:w="3625"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2</w:t>
            </w:r>
          </w:p>
        </w:tc>
        <w:tc>
          <w:tcPr>
            <w:tcW w:w="2740" w:type="dxa"/>
            <w:gridSpan w:val="2"/>
            <w:vAlign w:val="center"/>
          </w:tcPr>
          <w:p>
            <w:pPr>
              <w:widowControl/>
              <w:spacing w:line="360" w:lineRule="auto"/>
              <w:jc w:val="center"/>
              <w:rPr>
                <w:rFonts w:ascii="宋体" w:hAnsi="宋体" w:cs="宋体"/>
                <w:bCs/>
                <w:color w:val="000000"/>
                <w:kern w:val="0"/>
                <w:sz w:val="24"/>
              </w:rPr>
            </w:pPr>
          </w:p>
        </w:tc>
        <w:tc>
          <w:tcPr>
            <w:tcW w:w="2036" w:type="dxa"/>
            <w:vAlign w:val="center"/>
          </w:tcPr>
          <w:p>
            <w:pPr>
              <w:spacing w:line="360" w:lineRule="auto"/>
              <w:jc w:val="center"/>
              <w:rPr>
                <w:rFonts w:ascii="宋体" w:hAnsi="宋体" w:cs="宋体"/>
                <w:bCs/>
                <w:color w:val="000000"/>
                <w:kern w:val="0"/>
                <w:sz w:val="24"/>
              </w:rPr>
            </w:pPr>
          </w:p>
        </w:tc>
        <w:tc>
          <w:tcPr>
            <w:tcW w:w="3625"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3</w:t>
            </w:r>
          </w:p>
        </w:tc>
        <w:tc>
          <w:tcPr>
            <w:tcW w:w="2740" w:type="dxa"/>
            <w:gridSpan w:val="2"/>
            <w:vAlign w:val="center"/>
          </w:tcPr>
          <w:p>
            <w:pPr>
              <w:widowControl/>
              <w:spacing w:line="360" w:lineRule="auto"/>
              <w:jc w:val="center"/>
              <w:rPr>
                <w:rFonts w:ascii="宋体" w:hAnsi="宋体" w:cs="宋体"/>
                <w:bCs/>
                <w:color w:val="000000"/>
                <w:kern w:val="0"/>
                <w:sz w:val="24"/>
              </w:rPr>
            </w:pPr>
          </w:p>
        </w:tc>
        <w:tc>
          <w:tcPr>
            <w:tcW w:w="2036" w:type="dxa"/>
            <w:vAlign w:val="center"/>
          </w:tcPr>
          <w:p>
            <w:pPr>
              <w:spacing w:line="360" w:lineRule="auto"/>
              <w:jc w:val="center"/>
              <w:rPr>
                <w:rFonts w:ascii="宋体" w:hAnsi="宋体" w:cs="宋体"/>
                <w:bCs/>
                <w:color w:val="000000"/>
                <w:kern w:val="0"/>
                <w:sz w:val="24"/>
              </w:rPr>
            </w:pPr>
          </w:p>
        </w:tc>
        <w:tc>
          <w:tcPr>
            <w:tcW w:w="3625"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595" w:type="dxa"/>
            <w:gridSpan w:val="4"/>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合  计(元)</w:t>
            </w:r>
          </w:p>
        </w:tc>
        <w:tc>
          <w:tcPr>
            <w:tcW w:w="3625" w:type="dxa"/>
            <w:vAlign w:val="center"/>
          </w:tcPr>
          <w:p>
            <w:pPr>
              <w:widowControl/>
              <w:spacing w:line="360" w:lineRule="auto"/>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总报价</w:t>
            </w:r>
          </w:p>
        </w:tc>
        <w:tc>
          <w:tcPr>
            <w:tcW w:w="7047" w:type="dxa"/>
            <w:gridSpan w:val="3"/>
            <w:vAlign w:val="center"/>
          </w:tcPr>
          <w:p>
            <w:pPr>
              <w:widowControl/>
              <w:spacing w:line="360" w:lineRule="auto"/>
              <w:rPr>
                <w:rFonts w:ascii="宋体" w:hAnsi="宋体" w:cs="宋体"/>
                <w:color w:val="000000"/>
                <w:kern w:val="0"/>
                <w:sz w:val="24"/>
              </w:rPr>
            </w:pPr>
            <w:r>
              <w:rPr>
                <w:rFonts w:hint="eastAsia" w:ascii="宋体" w:hAnsi="宋体"/>
                <w:b/>
                <w:color w:val="000000"/>
                <w:sz w:val="24"/>
              </w:rPr>
              <w:t>人民币大写：</w:t>
            </w:r>
            <w:r>
              <w:rPr>
                <w:rFonts w:ascii="宋体" w:hAnsi="宋体"/>
                <w:b/>
                <w:color w:val="000000"/>
                <w:sz w:val="24"/>
                <w:u w:val="single"/>
              </w:rPr>
              <w:t xml:space="preserve">           </w:t>
            </w:r>
            <w:r>
              <w:rPr>
                <w:rFonts w:hint="eastAsia" w:ascii="宋体" w:hAnsi="宋体"/>
                <w:b/>
                <w:color w:val="000000"/>
                <w:sz w:val="24"/>
              </w:rPr>
              <w:t>（人民币小写：</w:t>
            </w:r>
            <w:r>
              <w:rPr>
                <w:rFonts w:ascii="宋体" w:hAnsi="宋体"/>
                <w:b/>
                <w:color w:val="000000"/>
                <w:sz w:val="24"/>
                <w:u w:val="single"/>
              </w:rPr>
              <w:t xml:space="preserve">      </w:t>
            </w:r>
            <w:r>
              <w:rPr>
                <w:rFonts w:hint="eastAsia" w:ascii="宋体" w:hAnsi="宋体"/>
                <w:b/>
                <w:color w:val="000000"/>
                <w:sz w:val="24"/>
              </w:rPr>
              <w:t>元）</w:t>
            </w:r>
          </w:p>
        </w:tc>
      </w:tr>
    </w:tbl>
    <w:p>
      <w:pPr>
        <w:widowControl/>
        <w:spacing w:line="360" w:lineRule="atLeast"/>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注：1. 报价应是最终用户验收合格后的总价，包括培训、税费和采购文件规定的其它费用。不得漏报，否则视为已包含在总报价中不再单独另行报价，不影响响应文件有效性。</w:t>
      </w:r>
    </w:p>
    <w:p>
      <w:pPr>
        <w:widowControl/>
        <w:spacing w:line="360" w:lineRule="atLeast"/>
        <w:ind w:firstLine="470" w:firstLineChars="196"/>
        <w:jc w:val="left"/>
        <w:outlineLvl w:val="1"/>
        <w:rPr>
          <w:rFonts w:ascii="宋体" w:hAnsi="宋体"/>
          <w:sz w:val="24"/>
        </w:rPr>
      </w:pPr>
      <w:r>
        <w:rPr>
          <w:rFonts w:hint="eastAsia" w:ascii="宋体" w:hAnsi="宋体"/>
          <w:sz w:val="24"/>
        </w:rPr>
        <w:t>2.“报价表”为多页的，每页均需由法定代表人或授权代表签字并盖供应商印章。</w:t>
      </w:r>
    </w:p>
    <w:p>
      <w:pPr>
        <w:pStyle w:val="48"/>
      </w:pPr>
    </w:p>
    <w:p>
      <w:pPr>
        <w:pStyle w:val="48"/>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pStyle w:val="48"/>
      </w:pPr>
    </w:p>
    <w:p>
      <w:pPr>
        <w:pStyle w:val="48"/>
      </w:pPr>
    </w:p>
    <w:p>
      <w:pPr>
        <w:pStyle w:val="48"/>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sz w:val="32"/>
          <w:szCs w:val="32"/>
        </w:rPr>
      </w:pPr>
      <w:bookmarkStart w:id="38" w:name="_Toc217446087"/>
      <w:r>
        <w:rPr>
          <w:rFonts w:hint="eastAsia" w:ascii="宋体" w:hAnsi="宋体"/>
          <w:b/>
          <w:sz w:val="32"/>
          <w:szCs w:val="32"/>
        </w:rPr>
        <w:t>四、</w:t>
      </w:r>
      <w:bookmarkEnd w:id="38"/>
      <w:r>
        <w:rPr>
          <w:rFonts w:hint="eastAsia" w:ascii="宋体" w:hAnsi="宋体"/>
          <w:b/>
          <w:sz w:val="32"/>
          <w:szCs w:val="32"/>
        </w:rPr>
        <w:t>供应商基本情况表</w:t>
      </w:r>
    </w:p>
    <w:tbl>
      <w:tblPr>
        <w:tblStyle w:val="47"/>
        <w:tblW w:w="8391"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953"/>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供应商名称</w:t>
            </w:r>
          </w:p>
        </w:tc>
        <w:tc>
          <w:tcPr>
            <w:tcW w:w="6689"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注册地址</w:t>
            </w:r>
          </w:p>
        </w:tc>
        <w:tc>
          <w:tcPr>
            <w:tcW w:w="3439" w:type="dxa"/>
            <w:gridSpan w:val="3"/>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jc w:val="left"/>
              <w:outlineLvl w:val="1"/>
              <w:rPr>
                <w:rFonts w:ascii="宋体" w:hAnsi="宋体"/>
                <w:sz w:val="24"/>
              </w:rPr>
            </w:pPr>
            <w:r>
              <w:rPr>
                <w:rFonts w:hint="eastAsia" w:ascii="宋体" w:hAnsi="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Merge w:val="restart"/>
            <w:vAlign w:val="center"/>
          </w:tcPr>
          <w:p>
            <w:pPr>
              <w:widowControl/>
              <w:spacing w:line="360" w:lineRule="atLeast"/>
              <w:jc w:val="left"/>
              <w:outlineLvl w:val="1"/>
              <w:rPr>
                <w:rFonts w:ascii="宋体" w:hAnsi="宋体"/>
                <w:sz w:val="24"/>
              </w:rPr>
            </w:pPr>
            <w:r>
              <w:rPr>
                <w:rFonts w:hint="eastAsia" w:ascii="宋体" w:hAnsi="宋体"/>
                <w:sz w:val="24"/>
              </w:rPr>
              <w:t>联系方式</w:t>
            </w: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702" w:type="dxa"/>
            <w:vMerge w:val="continue"/>
            <w:vAlign w:val="center"/>
          </w:tcPr>
          <w:p>
            <w:pPr>
              <w:rPr>
                <w:rFonts w:ascii="宋体" w:hAnsi="宋体"/>
              </w:rPr>
            </w:pP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组织结构</w:t>
            </w:r>
          </w:p>
        </w:tc>
        <w:tc>
          <w:tcPr>
            <w:tcW w:w="6689"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法定代表人</w:t>
            </w: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技术负责人</w:t>
            </w: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成立时间</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4497" w:type="dxa"/>
            <w:gridSpan w:val="5"/>
            <w:vAlign w:val="center"/>
          </w:tcPr>
          <w:p>
            <w:pPr>
              <w:widowControl/>
              <w:spacing w:line="360" w:lineRule="atLeast"/>
              <w:jc w:val="left"/>
              <w:outlineLvl w:val="1"/>
              <w:rPr>
                <w:rFonts w:ascii="宋体" w:hAnsi="宋体"/>
                <w:sz w:val="24"/>
              </w:rPr>
            </w:pPr>
            <w:r>
              <w:rPr>
                <w:rFonts w:hint="eastAsia" w:ascii="宋体"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企业资质等级</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restart"/>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其中</w:t>
            </w: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项目经理</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营业执照号</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高级职称人员</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注册资金</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中级职称人员</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开户银行</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初级职称人员</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账号</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技工</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经营范围</w:t>
            </w:r>
          </w:p>
        </w:tc>
        <w:tc>
          <w:tcPr>
            <w:tcW w:w="6689"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702" w:type="dxa"/>
          </w:tcPr>
          <w:p>
            <w:pPr>
              <w:widowControl/>
              <w:spacing w:line="360" w:lineRule="atLeast"/>
              <w:ind w:firstLine="470" w:firstLineChars="196"/>
              <w:jc w:val="left"/>
              <w:outlineLvl w:val="1"/>
              <w:rPr>
                <w:rFonts w:ascii="宋体" w:hAnsi="宋体"/>
                <w:sz w:val="24"/>
              </w:rPr>
            </w:pPr>
            <w:r>
              <w:rPr>
                <w:rFonts w:hint="eastAsia" w:ascii="宋体" w:hAnsi="宋体"/>
                <w:sz w:val="24"/>
              </w:rPr>
              <w:t>备注</w:t>
            </w:r>
          </w:p>
        </w:tc>
        <w:tc>
          <w:tcPr>
            <w:tcW w:w="6689" w:type="dxa"/>
            <w:gridSpan w:val="7"/>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日期:</w:t>
      </w:r>
      <w:r>
        <w:rPr>
          <w:rFonts w:hint="eastAsia" w:ascii="宋体" w:hAnsi="宋体"/>
          <w:b/>
          <w:sz w:val="40"/>
          <w:szCs w:val="48"/>
          <w:u w:val="single"/>
        </w:rPr>
        <w:t xml:space="preserve">      </w:t>
      </w:r>
      <w:r>
        <w:rPr>
          <w:rFonts w:hint="eastAsia" w:ascii="宋体" w:hAnsi="宋体"/>
          <w:sz w:val="24"/>
        </w:rPr>
        <w:t>。</w:t>
      </w:r>
    </w:p>
    <w:p>
      <w:pPr>
        <w:widowControl/>
        <w:spacing w:line="360" w:lineRule="atLeast"/>
        <w:jc w:val="center"/>
        <w:outlineLvl w:val="1"/>
        <w:rPr>
          <w:rFonts w:ascii="宋体" w:hAnsi="宋体"/>
          <w:b/>
          <w:sz w:val="24"/>
        </w:rPr>
      </w:pPr>
    </w:p>
    <w:p>
      <w:pPr>
        <w:spacing w:line="360" w:lineRule="auto"/>
        <w:rPr>
          <w:rFonts w:ascii="宋体" w:hAnsi="宋体"/>
          <w:b/>
          <w:sz w:val="32"/>
          <w:szCs w:val="32"/>
        </w:rPr>
      </w:pPr>
      <w:r>
        <w:rPr>
          <w:rFonts w:hint="eastAsia" w:ascii="宋体" w:hAnsi="宋体"/>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五、技术、服务应答表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32"/>
          <w:szCs w:val="32"/>
        </w:rPr>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015"/>
        <w:gridCol w:w="257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194" w:type="dxa"/>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3015" w:type="dxa"/>
            <w:vAlign w:val="center"/>
          </w:tcPr>
          <w:p>
            <w:pPr>
              <w:spacing w:line="400" w:lineRule="exact"/>
              <w:jc w:val="center"/>
              <w:rPr>
                <w:rFonts w:ascii="宋体" w:hAnsi="宋体"/>
                <w:color w:val="000000"/>
                <w:sz w:val="24"/>
              </w:rPr>
            </w:pPr>
            <w:r>
              <w:rPr>
                <w:rFonts w:hint="eastAsia" w:ascii="宋体" w:hAnsi="宋体"/>
                <w:color w:val="000000"/>
                <w:sz w:val="24"/>
              </w:rPr>
              <w:t>采购文件要求</w:t>
            </w:r>
          </w:p>
        </w:tc>
        <w:tc>
          <w:tcPr>
            <w:tcW w:w="2571" w:type="dxa"/>
            <w:vAlign w:val="center"/>
          </w:tcPr>
          <w:p>
            <w:pPr>
              <w:spacing w:line="400" w:lineRule="exact"/>
              <w:jc w:val="center"/>
              <w:rPr>
                <w:rFonts w:ascii="宋体" w:hAnsi="宋体"/>
                <w:color w:val="000000"/>
                <w:sz w:val="24"/>
              </w:rPr>
            </w:pPr>
            <w:r>
              <w:rPr>
                <w:rFonts w:hint="eastAsia" w:ascii="宋体" w:hAnsi="宋体"/>
                <w:color w:val="000000"/>
                <w:sz w:val="24"/>
              </w:rPr>
              <w:t>响应文件应答</w:t>
            </w:r>
          </w:p>
        </w:tc>
        <w:tc>
          <w:tcPr>
            <w:tcW w:w="2265" w:type="dxa"/>
            <w:vAlign w:val="center"/>
          </w:tcPr>
          <w:p>
            <w:pPr>
              <w:spacing w:line="400" w:lineRule="exact"/>
              <w:jc w:val="center"/>
              <w:rPr>
                <w:rFonts w:ascii="宋体" w:hAnsi="宋体"/>
                <w:color w:val="000000"/>
                <w:sz w:val="24"/>
              </w:rPr>
            </w:pPr>
            <w:r>
              <w:rPr>
                <w:rFonts w:hint="eastAsia" w:ascii="宋体" w:hAnsi="宋体" w:cs="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color w:val="000000"/>
                <w:sz w:val="24"/>
              </w:rPr>
            </w:pP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color w:val="000000"/>
                <w:sz w:val="24"/>
              </w:rPr>
            </w:pP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color w:val="000000"/>
                <w:sz w:val="24"/>
              </w:rPr>
            </w:pP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194" w:type="dxa"/>
            <w:vAlign w:val="center"/>
          </w:tcPr>
          <w:p>
            <w:pPr>
              <w:spacing w:line="400" w:lineRule="exact"/>
              <w:jc w:val="center"/>
              <w:rPr>
                <w:rFonts w:ascii="宋体" w:hAnsi="宋体"/>
                <w:color w:val="000000"/>
                <w:sz w:val="24"/>
              </w:rPr>
            </w:pPr>
            <w:r>
              <w:rPr>
                <w:rFonts w:hint="eastAsia" w:ascii="宋体" w:hAnsi="宋体"/>
                <w:color w:val="000000"/>
                <w:sz w:val="24"/>
              </w:rPr>
              <w:t>...</w:t>
            </w: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bl>
    <w:p>
      <w:pPr>
        <w:widowControl/>
        <w:jc w:val="left"/>
        <w:rPr>
          <w:rFonts w:ascii="宋体" w:hAnsi="宋体"/>
          <w:b/>
          <w:sz w:val="32"/>
          <w:szCs w:val="32"/>
        </w:rPr>
      </w:pPr>
    </w:p>
    <w:p>
      <w:pPr>
        <w:ind w:firstLine="480" w:firstLineChars="200"/>
        <w:rPr>
          <w:rFonts w:ascii="宋体" w:hAnsi="宋体"/>
          <w:b/>
          <w:color w:val="000000"/>
          <w:sz w:val="24"/>
        </w:rPr>
      </w:pPr>
      <w:r>
        <w:rPr>
          <w:rFonts w:hint="eastAsia" w:ascii="宋体" w:hAnsi="宋体"/>
          <w:color w:val="000000"/>
          <w:sz w:val="24"/>
        </w:rPr>
        <w:t>注：供应商必须根据谈判文件要求据实逐条填写，不得虚假响应，虚假响应的，其响应文件无效并按规定追究其相关责任。</w:t>
      </w:r>
    </w:p>
    <w:p>
      <w:pPr>
        <w:widowControl/>
        <w:jc w:val="left"/>
        <w:rPr>
          <w:rFonts w:ascii="宋体" w:hAnsi="宋体"/>
          <w:b/>
          <w:sz w:val="32"/>
          <w:szCs w:val="32"/>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日期:</w:t>
      </w:r>
      <w:r>
        <w:rPr>
          <w:rFonts w:hint="eastAsia" w:ascii="宋体" w:hAnsi="宋体"/>
          <w:b/>
          <w:sz w:val="40"/>
          <w:szCs w:val="48"/>
          <w:u w:val="single"/>
        </w:rPr>
        <w:t xml:space="preserve">      </w:t>
      </w:r>
      <w:r>
        <w:rPr>
          <w:rFonts w:hint="eastAsia" w:ascii="宋体" w:hAnsi="宋体"/>
          <w:sz w:val="24"/>
        </w:rPr>
        <w:t>。</w:t>
      </w:r>
    </w:p>
    <w:p>
      <w:pPr>
        <w:pStyle w:val="48"/>
      </w:pP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六、商务应答表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942"/>
        <w:gridCol w:w="294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006"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序号</w:t>
            </w:r>
          </w:p>
        </w:tc>
        <w:tc>
          <w:tcPr>
            <w:tcW w:w="29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采购文件要求</w:t>
            </w:r>
          </w:p>
        </w:tc>
        <w:tc>
          <w:tcPr>
            <w:tcW w:w="2941"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响应文件应答</w:t>
            </w:r>
          </w:p>
        </w:tc>
        <w:tc>
          <w:tcPr>
            <w:tcW w:w="2926"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r>
              <w:rPr>
                <w:rFonts w:hint="eastAsia" w:ascii="宋体" w:hAnsi="宋体"/>
                <w:color w:val="000000"/>
                <w:sz w:val="24"/>
              </w:rPr>
              <w:t>...</w:t>
            </w: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bl>
    <w:p>
      <w:pPr>
        <w:spacing w:line="400" w:lineRule="exact"/>
        <w:rPr>
          <w:rFonts w:ascii="宋体" w:hAnsi="宋体"/>
          <w:b/>
          <w:bCs/>
          <w:sz w:val="24"/>
        </w:rPr>
      </w:pPr>
      <w:r>
        <w:rPr>
          <w:rFonts w:hint="eastAsia" w:ascii="宋体" w:hAnsi="宋体"/>
          <w:sz w:val="24"/>
        </w:rPr>
        <w:t>注：</w:t>
      </w:r>
      <w:r>
        <w:rPr>
          <w:rFonts w:hint="eastAsia" w:ascii="宋体" w:hAnsi="宋体"/>
          <w:b/>
          <w:bCs/>
          <w:sz w:val="24"/>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pPr>
        <w:widowControl/>
        <w:spacing w:line="360" w:lineRule="atLeast"/>
        <w:ind w:firstLine="472" w:firstLineChars="196"/>
        <w:jc w:val="left"/>
        <w:outlineLvl w:val="1"/>
        <w:rPr>
          <w:rFonts w:ascii="宋体" w:hAnsi="宋体"/>
          <w:b/>
          <w:bCs/>
          <w:sz w:val="24"/>
        </w:rPr>
      </w:pPr>
      <w:r>
        <w:rPr>
          <w:rFonts w:hint="eastAsia" w:ascii="宋体" w:hAnsi="宋体"/>
          <w:b/>
          <w:bCs/>
          <w:sz w:val="24"/>
        </w:rPr>
        <w:t>2、</w:t>
      </w:r>
      <w:bookmarkStart w:id="39" w:name="_Toc21274"/>
      <w:bookmarkStart w:id="40" w:name="_Toc2935"/>
      <w:bookmarkStart w:id="41" w:name="_Toc485222414"/>
      <w:r>
        <w:rPr>
          <w:rFonts w:hint="eastAsia" w:ascii="宋体" w:hAnsi="宋体"/>
          <w:b/>
          <w:bCs/>
          <w:sz w:val="24"/>
        </w:rPr>
        <w:t>供应商必须据实填写，不得虚假响应，否则将取消其谈判或成交资格，并按有关规定进行处罚。</w:t>
      </w:r>
      <w:bookmarkEnd w:id="39"/>
      <w:bookmarkEnd w:id="40"/>
      <w:bookmarkEnd w:id="41"/>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日期:</w:t>
      </w:r>
      <w:r>
        <w:rPr>
          <w:rFonts w:hint="eastAsia" w:ascii="宋体" w:hAnsi="宋体"/>
          <w:b/>
          <w:sz w:val="40"/>
          <w:szCs w:val="48"/>
          <w:u w:val="single"/>
        </w:rPr>
        <w:t xml:space="preserve">      </w:t>
      </w:r>
      <w:r>
        <w:rPr>
          <w:rFonts w:hint="eastAsia" w:ascii="宋体" w:hAnsi="宋体"/>
          <w:sz w:val="24"/>
        </w:rPr>
        <w:t>。</w:t>
      </w: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bookmarkStart w:id="42" w:name="_Toc217446090"/>
      <w:r>
        <w:rPr>
          <w:rFonts w:hint="eastAsia" w:ascii="宋体" w:hAnsi="宋体"/>
          <w:b/>
          <w:sz w:val="32"/>
          <w:szCs w:val="32"/>
        </w:rPr>
        <w:t>七、供应商类似项目业绩一览表</w:t>
      </w:r>
    </w:p>
    <w:tbl>
      <w:tblPr>
        <w:tblStyle w:val="47"/>
        <w:tblW w:w="91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8"/>
        <w:gridCol w:w="1759"/>
        <w:gridCol w:w="1612"/>
        <w:gridCol w:w="1418"/>
        <w:gridCol w:w="1745"/>
        <w:gridCol w:w="16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tcBorders>
              <w:top w:val="single" w:color="auto" w:sz="4" w:space="0"/>
            </w:tcBorders>
            <w:vAlign w:val="center"/>
          </w:tcPr>
          <w:p>
            <w:pPr>
              <w:spacing w:line="400" w:lineRule="exact"/>
              <w:ind w:firstLine="105" w:firstLineChars="50"/>
              <w:jc w:val="center"/>
              <w:rPr>
                <w:rFonts w:ascii="宋体" w:hAnsi="宋体" w:cs="Arial"/>
                <w:b/>
                <w:color w:val="000000"/>
              </w:rPr>
            </w:pPr>
            <w:r>
              <w:rPr>
                <w:rFonts w:hint="eastAsia" w:ascii="宋体" w:hAnsi="宋体" w:cs="Arial"/>
                <w:b/>
                <w:color w:val="000000"/>
              </w:rPr>
              <w:t>年份</w:t>
            </w:r>
          </w:p>
        </w:tc>
        <w:tc>
          <w:tcPr>
            <w:tcW w:w="1759"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612"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41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745" w:type="dxa"/>
            <w:vAlign w:val="center"/>
          </w:tcPr>
          <w:p>
            <w:pPr>
              <w:spacing w:line="400" w:lineRule="exact"/>
              <w:ind w:firstLine="105" w:firstLineChars="50"/>
              <w:jc w:val="center"/>
              <w:rPr>
                <w:rFonts w:ascii="宋体" w:hAnsi="宋体" w:cs="Arial"/>
                <w:b/>
                <w:color w:val="000000"/>
              </w:rPr>
            </w:pPr>
            <w:r>
              <w:rPr>
                <w:rFonts w:ascii="宋体" w:hAnsi="宋体" w:cs="Arial"/>
                <w:b/>
                <w:color w:val="000000"/>
              </w:rPr>
              <w:t>合同金额</w:t>
            </w:r>
          </w:p>
        </w:tc>
        <w:tc>
          <w:tcPr>
            <w:tcW w:w="1688" w:type="dxa"/>
            <w:tcBorders>
              <w:left w:val="single" w:color="auto" w:sz="4" w:space="0"/>
            </w:tcBorders>
            <w:vAlign w:val="center"/>
          </w:tcPr>
          <w:p>
            <w:pPr>
              <w:spacing w:line="400" w:lineRule="exact"/>
              <w:jc w:val="center"/>
              <w:rPr>
                <w:rFonts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tcBorders>
              <w:right w:val="single" w:color="auto" w:sz="4" w:space="0"/>
            </w:tcBorders>
            <w:vAlign w:val="center"/>
          </w:tcPr>
          <w:p>
            <w:pPr>
              <w:spacing w:line="400" w:lineRule="exact"/>
              <w:jc w:val="center"/>
              <w:rPr>
                <w:rFonts w:ascii="宋体" w:hAnsi="宋体" w:cs="Arial"/>
                <w:color w:val="000000"/>
              </w:rPr>
            </w:pPr>
          </w:p>
        </w:tc>
        <w:tc>
          <w:tcPr>
            <w:tcW w:w="1612" w:type="dxa"/>
            <w:tcBorders>
              <w:left w:val="single" w:color="auto" w:sz="4" w:space="0"/>
            </w:tcBorders>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tcBorders>
              <w:right w:val="single" w:color="auto" w:sz="4" w:space="0"/>
            </w:tcBorders>
            <w:vAlign w:val="center"/>
          </w:tcPr>
          <w:p>
            <w:pPr>
              <w:spacing w:line="400" w:lineRule="exact"/>
              <w:jc w:val="center"/>
              <w:rPr>
                <w:rFonts w:ascii="宋体" w:hAnsi="宋体" w:cs="Arial"/>
                <w:color w:val="000000"/>
              </w:rPr>
            </w:pPr>
          </w:p>
        </w:tc>
        <w:tc>
          <w:tcPr>
            <w:tcW w:w="1759"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612"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418"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745"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tcBorders>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tcBorders>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tcBorders>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878" w:type="dxa"/>
            <w:tcBorders>
              <w:bottom w:val="single" w:color="auto" w:sz="4" w:space="0"/>
            </w:tcBorders>
            <w:vAlign w:val="center"/>
          </w:tcPr>
          <w:p>
            <w:pPr>
              <w:spacing w:line="400" w:lineRule="exact"/>
              <w:jc w:val="center"/>
              <w:rPr>
                <w:rFonts w:ascii="宋体" w:hAnsi="宋体" w:cs="Arial"/>
                <w:color w:val="000000"/>
              </w:rPr>
            </w:pPr>
          </w:p>
        </w:tc>
        <w:tc>
          <w:tcPr>
            <w:tcW w:w="1759" w:type="dxa"/>
            <w:tcBorders>
              <w:bottom w:val="single" w:color="auto" w:sz="4" w:space="0"/>
            </w:tcBorders>
            <w:vAlign w:val="center"/>
          </w:tcPr>
          <w:p>
            <w:pPr>
              <w:spacing w:line="400" w:lineRule="exact"/>
              <w:jc w:val="center"/>
              <w:rPr>
                <w:rFonts w:ascii="宋体" w:hAnsi="宋体" w:cs="Arial"/>
                <w:color w:val="000000"/>
              </w:rPr>
            </w:pPr>
          </w:p>
        </w:tc>
        <w:tc>
          <w:tcPr>
            <w:tcW w:w="1612" w:type="dxa"/>
            <w:tcBorders>
              <w:bottom w:val="single" w:color="auto" w:sz="4" w:space="0"/>
            </w:tcBorders>
            <w:vAlign w:val="center"/>
          </w:tcPr>
          <w:p>
            <w:pPr>
              <w:spacing w:line="400" w:lineRule="exact"/>
              <w:jc w:val="center"/>
              <w:rPr>
                <w:rFonts w:ascii="宋体" w:hAnsi="宋体" w:cs="Arial"/>
                <w:color w:val="000000"/>
              </w:rPr>
            </w:pPr>
          </w:p>
        </w:tc>
        <w:tc>
          <w:tcPr>
            <w:tcW w:w="1418" w:type="dxa"/>
            <w:tcBorders>
              <w:bottom w:val="single" w:color="auto" w:sz="4" w:space="0"/>
            </w:tcBorders>
            <w:vAlign w:val="center"/>
          </w:tcPr>
          <w:p>
            <w:pPr>
              <w:spacing w:line="400" w:lineRule="exact"/>
              <w:jc w:val="center"/>
              <w:rPr>
                <w:rFonts w:ascii="宋体" w:hAnsi="宋体" w:cs="Arial"/>
                <w:color w:val="000000"/>
              </w:rPr>
            </w:pPr>
          </w:p>
        </w:tc>
        <w:tc>
          <w:tcPr>
            <w:tcW w:w="1745" w:type="dxa"/>
            <w:tcBorders>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0"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35" w:hRule="atLeast"/>
          <w:jc w:val="center"/>
        </w:trPr>
        <w:tc>
          <w:tcPr>
            <w:tcW w:w="878" w:type="dxa"/>
            <w:tcBorders>
              <w:top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w:t>
            </w:r>
          </w:p>
        </w:tc>
        <w:tc>
          <w:tcPr>
            <w:tcW w:w="1759" w:type="dxa"/>
            <w:tcBorders>
              <w:top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tcBorders>
            <w:vAlign w:val="center"/>
          </w:tcPr>
          <w:p>
            <w:pPr>
              <w:spacing w:line="400" w:lineRule="exact"/>
              <w:jc w:val="center"/>
              <w:rPr>
                <w:rFonts w:ascii="宋体" w:hAnsi="宋体" w:cs="Arial"/>
                <w:color w:val="000000"/>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注：以上业绩需提供采购文件要求的有关书面证明材料。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jc w:val="left"/>
        <w:outlineLvl w:val="1"/>
        <w:rPr>
          <w:rFonts w:ascii="宋体" w:hAnsi="宋体"/>
          <w:b/>
          <w:sz w:val="24"/>
        </w:rPr>
      </w:pPr>
    </w:p>
    <w:p>
      <w:pPr>
        <w:spacing w:line="360" w:lineRule="auto"/>
        <w:rPr>
          <w:rFonts w:ascii="宋体" w:hAnsi="宋体"/>
          <w:b/>
          <w:sz w:val="32"/>
          <w:szCs w:val="32"/>
        </w:rPr>
      </w:pPr>
      <w:r>
        <w:rPr>
          <w:rFonts w:hint="eastAsia" w:ascii="宋体" w:hAnsi="宋体"/>
          <w:b/>
          <w:sz w:val="32"/>
          <w:szCs w:val="32"/>
        </w:rPr>
        <w:br w:type="page"/>
      </w:r>
    </w:p>
    <w:bookmarkEnd w:id="42"/>
    <w:p>
      <w:pPr>
        <w:widowControl/>
        <w:spacing w:line="360" w:lineRule="atLeast"/>
        <w:jc w:val="center"/>
        <w:outlineLvl w:val="1"/>
        <w:rPr>
          <w:rFonts w:ascii="宋体" w:hAnsi="宋体"/>
          <w:b/>
          <w:sz w:val="32"/>
          <w:szCs w:val="32"/>
        </w:rPr>
      </w:pPr>
      <w:r>
        <w:rPr>
          <w:rFonts w:hint="eastAsia" w:ascii="宋体" w:hAnsi="宋体"/>
          <w:b/>
          <w:sz w:val="32"/>
          <w:szCs w:val="32"/>
        </w:rPr>
        <w:t>八、供应商本项目管理、技术、服务人员情况表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28"/>
          <w:szCs w:val="28"/>
        </w:rPr>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职务</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职称</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常住地</w:t>
            </w:r>
          </w:p>
        </w:tc>
        <w:tc>
          <w:tcPr>
            <w:tcW w:w="4412" w:type="dxa"/>
            <w:gridSpan w:val="4"/>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107" w:type="dxa"/>
            <w:vAlign w:val="center"/>
          </w:tcPr>
          <w:p>
            <w:pPr>
              <w:widowControl/>
              <w:spacing w:line="360" w:lineRule="atLeast"/>
              <w:jc w:val="center"/>
              <w:outlineLvl w:val="1"/>
              <w:rPr>
                <w:rFonts w:ascii="宋体" w:hAnsi="宋体"/>
                <w:sz w:val="24"/>
              </w:rPr>
            </w:pPr>
            <w:r>
              <w:rPr>
                <w:rFonts w:hint="eastAsia" w:ascii="宋体" w:hAnsi="宋体"/>
                <w:sz w:val="24"/>
              </w:rPr>
              <w:t>证书</w:t>
            </w:r>
          </w:p>
          <w:p>
            <w:pPr>
              <w:widowControl/>
              <w:spacing w:line="360" w:lineRule="atLeast"/>
              <w:jc w:val="center"/>
              <w:outlineLvl w:val="1"/>
              <w:rPr>
                <w:rFonts w:ascii="宋体" w:hAnsi="宋体"/>
                <w:sz w:val="24"/>
              </w:rPr>
            </w:pPr>
            <w:r>
              <w:rPr>
                <w:rFonts w:hint="eastAsia" w:ascii="宋体" w:hAnsi="宋体"/>
                <w:sz w:val="24"/>
              </w:rPr>
              <w:t>名称</w:t>
            </w:r>
          </w:p>
        </w:tc>
        <w:tc>
          <w:tcPr>
            <w:tcW w:w="1249" w:type="dxa"/>
            <w:vAlign w:val="center"/>
          </w:tcPr>
          <w:p>
            <w:pPr>
              <w:widowControl/>
              <w:spacing w:line="360" w:lineRule="atLeast"/>
              <w:jc w:val="center"/>
              <w:outlineLvl w:val="1"/>
              <w:rPr>
                <w:rFonts w:ascii="宋体" w:hAnsi="宋体"/>
                <w:sz w:val="24"/>
              </w:rPr>
            </w:pPr>
            <w:r>
              <w:rPr>
                <w:rFonts w:hint="eastAsia" w:ascii="宋体" w:hAnsi="宋体"/>
                <w:sz w:val="24"/>
              </w:rPr>
              <w:t>级别</w:t>
            </w:r>
          </w:p>
        </w:tc>
        <w:tc>
          <w:tcPr>
            <w:tcW w:w="1102" w:type="dxa"/>
            <w:vAlign w:val="center"/>
          </w:tcPr>
          <w:p>
            <w:pPr>
              <w:widowControl/>
              <w:spacing w:line="360" w:lineRule="atLeast"/>
              <w:jc w:val="center"/>
              <w:outlineLvl w:val="1"/>
              <w:rPr>
                <w:rFonts w:ascii="宋体" w:hAnsi="宋体"/>
                <w:sz w:val="24"/>
              </w:rPr>
            </w:pPr>
            <w:r>
              <w:rPr>
                <w:rFonts w:hint="eastAsia" w:ascii="宋体" w:hAnsi="宋体"/>
                <w:sz w:val="24"/>
              </w:rPr>
              <w:t>证号</w:t>
            </w:r>
          </w:p>
        </w:tc>
        <w:tc>
          <w:tcPr>
            <w:tcW w:w="954" w:type="dxa"/>
            <w:vAlign w:val="center"/>
          </w:tcPr>
          <w:p>
            <w:pPr>
              <w:widowControl/>
              <w:spacing w:line="360" w:lineRule="atLeast"/>
              <w:jc w:val="center"/>
              <w:outlineLvl w:val="1"/>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bl>
    <w:p>
      <w:pPr>
        <w:pStyle w:val="48"/>
      </w:pPr>
    </w:p>
    <w:p>
      <w:pPr>
        <w:pStyle w:val="48"/>
      </w:pPr>
    </w:p>
    <w:p>
      <w:pPr>
        <w:pStyle w:val="48"/>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 xml:space="preserve">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spacing w:line="360" w:lineRule="auto"/>
        <w:rPr>
          <w:rFonts w:ascii="宋体" w:hAnsi="宋体"/>
          <w:b/>
          <w:sz w:val="32"/>
          <w:szCs w:val="32"/>
        </w:rPr>
      </w:pPr>
      <w:bookmarkStart w:id="43" w:name="_Toc217446091"/>
      <w:r>
        <w:rPr>
          <w:rFonts w:hint="eastAsia" w:ascii="宋体" w:hAnsi="宋体"/>
          <w:b/>
          <w:sz w:val="32"/>
          <w:szCs w:val="32"/>
        </w:rPr>
        <w:br w:type="page"/>
      </w:r>
    </w:p>
    <w:bookmarkEnd w:id="43"/>
    <w:p>
      <w:pPr>
        <w:widowControl/>
        <w:spacing w:line="360" w:lineRule="atLeast"/>
        <w:jc w:val="center"/>
        <w:outlineLvl w:val="1"/>
        <w:rPr>
          <w:rFonts w:ascii="宋体" w:hAnsi="宋体"/>
          <w:b/>
          <w:sz w:val="32"/>
          <w:szCs w:val="32"/>
        </w:rPr>
      </w:pPr>
      <w:r>
        <w:rPr>
          <w:rFonts w:hint="eastAsia" w:ascii="宋体" w:hAnsi="宋体"/>
          <w:b/>
          <w:sz w:val="32"/>
          <w:szCs w:val="32"/>
        </w:rPr>
        <w:t>九、供应商诚信情况承诺函</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bCs/>
          <w:sz w:val="24"/>
        </w:rPr>
        <w:t>（采购</w:t>
      </w:r>
      <w:r>
        <w:rPr>
          <w:rFonts w:hint="eastAsia" w:ascii="宋体" w:hAnsi="宋体"/>
          <w:bCs/>
          <w:sz w:val="24"/>
          <w:lang w:val="en-US" w:eastAsia="zh-CN"/>
        </w:rPr>
        <w:t>人</w:t>
      </w:r>
      <w:r>
        <w:rPr>
          <w:rFonts w:hint="eastAsia" w:ascii="宋体" w:hAnsi="宋体"/>
          <w:bCs/>
          <w:sz w:val="24"/>
        </w:rPr>
        <w:t xml:space="preserve">）： </w:t>
      </w:r>
    </w:p>
    <w:p>
      <w:pPr>
        <w:spacing w:line="360" w:lineRule="auto"/>
        <w:rPr>
          <w:rFonts w:ascii="宋体" w:hAnsi="宋体"/>
          <w:sz w:val="24"/>
        </w:rPr>
      </w:pPr>
      <w:r>
        <w:rPr>
          <w:rFonts w:hint="eastAsia" w:ascii="宋体" w:hAnsi="宋体"/>
          <w:bCs/>
          <w:sz w:val="24"/>
        </w:rPr>
        <w:t xml:space="preserve">    本单位</w:t>
      </w:r>
      <w:r>
        <w:rPr>
          <w:rFonts w:hint="eastAsia" w:ascii="宋体" w:hAnsi="宋体"/>
          <w:bCs/>
          <w:sz w:val="24"/>
          <w:u w:val="single"/>
        </w:rPr>
        <w:t xml:space="preserve">                   </w:t>
      </w:r>
      <w:r>
        <w:rPr>
          <w:rFonts w:hint="eastAsia" w:ascii="宋体" w:hAnsi="宋体"/>
          <w:bCs/>
          <w:sz w:val="24"/>
        </w:rPr>
        <w:t>（供应商名称）参加“</w:t>
      </w:r>
      <w:r>
        <w:rPr>
          <w:rFonts w:hint="eastAsia" w:ascii="宋体" w:hAnsi="宋体"/>
          <w:bCs/>
          <w:sz w:val="24"/>
          <w:u w:val="single"/>
        </w:rPr>
        <w:t xml:space="preserve">                </w:t>
      </w:r>
      <w:r>
        <w:rPr>
          <w:rFonts w:hint="eastAsia" w:ascii="宋体" w:hAnsi="宋体"/>
          <w:bCs/>
          <w:sz w:val="24"/>
        </w:rPr>
        <w:t>”项目（项目编号：</w:t>
      </w:r>
      <w:r>
        <w:rPr>
          <w:rFonts w:hint="eastAsia" w:ascii="宋体" w:hAnsi="宋体"/>
          <w:bCs/>
          <w:sz w:val="24"/>
          <w:u w:val="single"/>
        </w:rPr>
        <w:t xml:space="preserve">                </w:t>
      </w:r>
      <w:r>
        <w:rPr>
          <w:rFonts w:hint="eastAsia" w:ascii="宋体" w:hAnsi="宋体"/>
          <w:bCs/>
          <w:sz w:val="24"/>
        </w:rPr>
        <w:t>）的采购活动，</w:t>
      </w:r>
      <w:r>
        <w:rPr>
          <w:rFonts w:hint="eastAsia" w:ascii="宋体" w:hAnsi="宋体"/>
          <w:sz w:val="24"/>
        </w:rPr>
        <w:t>现根据《</w:t>
      </w:r>
      <w:r>
        <w:rPr>
          <w:rFonts w:ascii="宋体" w:hAnsi="宋体"/>
          <w:sz w:val="24"/>
        </w:rPr>
        <w:t>四川省政府采购当事人诚信管理办法</w:t>
      </w:r>
      <w:r>
        <w:rPr>
          <w:rFonts w:hint="eastAsia" w:ascii="宋体" w:hAnsi="宋体"/>
          <w:sz w:val="24"/>
        </w:rPr>
        <w:t>》川财采〔2015〕33号的相关规定，针</w:t>
      </w:r>
      <w:r>
        <w:rPr>
          <w:rFonts w:hint="eastAsia" w:ascii="宋体" w:hAnsi="宋体"/>
          <w:bCs/>
          <w:sz w:val="24"/>
        </w:rPr>
        <w:t>对本单位的诚信情况作出以下承诺：</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我单位具有</w:t>
      </w:r>
      <w:r>
        <w:rPr>
          <w:rFonts w:hint="eastAsia" w:ascii="宋体" w:hAnsi="宋体"/>
          <w:sz w:val="24"/>
        </w:rPr>
        <w:t>《四川省政府采购当事人诚信管理办法》（川财采[2015]33号）所规定的失信行为</w:t>
      </w:r>
      <w:r>
        <w:rPr>
          <w:rFonts w:hint="eastAsia" w:ascii="宋体" w:hAnsi="宋体"/>
          <w:sz w:val="24"/>
          <w:u w:val="single"/>
        </w:rPr>
        <w:t xml:space="preserve">      </w:t>
      </w:r>
      <w:r>
        <w:rPr>
          <w:rFonts w:hint="eastAsia" w:ascii="宋体" w:hAnsi="宋体"/>
          <w:sz w:val="24"/>
        </w:rPr>
        <w:t>次（填写失信行为的次数时，建议使用大写数字，如零、壹、贰、叁、肆等。）；</w:t>
      </w:r>
      <w:r>
        <w:rPr>
          <w:rFonts w:hint="eastAsia" w:ascii="宋体" w:hAnsi="宋体"/>
          <w:bCs/>
          <w:sz w:val="24"/>
        </w:rPr>
        <w:t>（仅限投标截止当日仍在有效期的次数）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对以上填写信息的真实性负责。如有不实，本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注：</w:t>
      </w:r>
    </w:p>
    <w:p>
      <w:pPr>
        <w:rPr>
          <w:rFonts w:ascii="宋体" w:hAnsi="宋体"/>
          <w:bCs/>
          <w:sz w:val="24"/>
        </w:rPr>
      </w:pPr>
      <w:r>
        <w:rPr>
          <w:rFonts w:hint="eastAsia" w:ascii="宋体" w:hAnsi="宋体"/>
          <w:bCs/>
          <w:sz w:val="24"/>
        </w:rPr>
        <w:t>1、本表格式及内容仅供参考，供应商也可提供自己的格式；</w:t>
      </w:r>
    </w:p>
    <w:p>
      <w:pPr>
        <w:rPr>
          <w:rFonts w:ascii="宋体" w:hAnsi="宋体"/>
          <w:bCs/>
          <w:sz w:val="24"/>
        </w:rPr>
      </w:pPr>
      <w:r>
        <w:rPr>
          <w:rFonts w:hint="eastAsia" w:ascii="宋体" w:hAnsi="宋体"/>
          <w:bCs/>
          <w:sz w:val="24"/>
        </w:rPr>
        <w:t>2、供应商存在以上所述失信行为的，将按照</w:t>
      </w:r>
      <w:r>
        <w:rPr>
          <w:rFonts w:hint="eastAsia" w:ascii="宋体" w:hAnsi="宋体"/>
          <w:sz w:val="24"/>
        </w:rPr>
        <w:t>第二章供应商须知附表的要求进行处理；</w:t>
      </w:r>
    </w:p>
    <w:p>
      <w:pPr>
        <w:rPr>
          <w:rFonts w:ascii="宋体" w:hAnsi="宋体"/>
          <w:kern w:val="0"/>
          <w:sz w:val="24"/>
        </w:rPr>
      </w:pPr>
      <w:r>
        <w:rPr>
          <w:rFonts w:hint="eastAsia" w:ascii="宋体" w:hAnsi="宋体"/>
          <w:bCs/>
          <w:sz w:val="24"/>
        </w:rPr>
        <w:t>3、</w:t>
      </w:r>
      <w:r>
        <w:rPr>
          <w:rFonts w:ascii="宋体" w:hAnsi="宋体"/>
          <w:bCs/>
          <w:sz w:val="24"/>
        </w:rPr>
        <w:t>对采购当事人的失信行为依法进行处罚、处理后，应当向社会公告，并记入诚信档案，有效期为1年。工商部门、税务部门、审判机关及其他有关部门单位认定供应商的失信行为明</w:t>
      </w:r>
      <w:r>
        <w:rPr>
          <w:rFonts w:ascii="宋体" w:hAnsi="宋体"/>
          <w:kern w:val="0"/>
          <w:sz w:val="24"/>
        </w:rPr>
        <w:t>确了有效期的，不再重复计算。</w:t>
      </w:r>
    </w:p>
    <w:p>
      <w:pPr>
        <w:rPr>
          <w:rFonts w:ascii="宋体" w:hAnsi="宋体"/>
          <w:bCs/>
          <w:sz w:val="24"/>
        </w:rPr>
      </w:pPr>
      <w:r>
        <w:rPr>
          <w:rFonts w:hint="eastAsia" w:ascii="宋体" w:hAnsi="宋体"/>
          <w:kern w:val="0"/>
          <w:sz w:val="24"/>
        </w:rPr>
        <w:t>4、</w:t>
      </w:r>
      <w:r>
        <w:rPr>
          <w:rFonts w:hint="eastAsia" w:ascii="宋体" w:hAnsi="宋体"/>
          <w:bCs/>
          <w:sz w:val="24"/>
        </w:rPr>
        <w:t>供应商的失信行为受到行政处罚或司法惩处的，评审时不再对其以价格加成进行惩戒。</w:t>
      </w:r>
    </w:p>
    <w:p>
      <w:pPr>
        <w:spacing w:line="360" w:lineRule="auto"/>
        <w:rPr>
          <w:rFonts w:ascii="宋体" w:hAnsi="宋体"/>
          <w:b/>
          <w:sz w:val="32"/>
          <w:szCs w:val="32"/>
        </w:rPr>
      </w:pPr>
      <w:r>
        <w:rPr>
          <w:rFonts w:hint="eastAsia" w:ascii="宋体" w:hAnsi="宋体"/>
          <w:bCs/>
          <w:sz w:val="24"/>
        </w:rPr>
        <w:br w:type="page"/>
      </w:r>
    </w:p>
    <w:p>
      <w:pPr>
        <w:pStyle w:val="48"/>
      </w:pPr>
      <w:bookmarkStart w:id="44" w:name="_Toc28495"/>
    </w:p>
    <w:p>
      <w:pPr>
        <w:spacing w:line="360" w:lineRule="auto"/>
        <w:jc w:val="center"/>
        <w:rPr>
          <w:rFonts w:ascii="宋体" w:hAnsi="宋体"/>
          <w:b/>
          <w:sz w:val="32"/>
          <w:szCs w:val="32"/>
        </w:rPr>
      </w:pPr>
      <w:r>
        <w:rPr>
          <w:rFonts w:hint="eastAsia" w:ascii="宋体" w:hAnsi="宋体"/>
          <w:b/>
          <w:sz w:val="32"/>
          <w:szCs w:val="32"/>
        </w:rPr>
        <w:t>十、其他材料</w:t>
      </w: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r>
        <w:rPr>
          <w:rFonts w:hint="eastAsia" w:ascii="宋体"/>
          <w:sz w:val="24"/>
        </w:rPr>
        <w:t>注：供应商在响应文件中可以提供以上本章格式未列明其他材料。</w:t>
      </w:r>
    </w:p>
    <w:p>
      <w:pPr>
        <w:pStyle w:val="48"/>
      </w:pPr>
    </w:p>
    <w:p>
      <w:pPr>
        <w:pStyle w:val="48"/>
      </w:pPr>
    </w:p>
    <w:p>
      <w:pPr>
        <w:pStyle w:val="48"/>
      </w:pPr>
    </w:p>
    <w:p>
      <w:pPr>
        <w:pStyle w:val="48"/>
      </w:pPr>
    </w:p>
    <w:p>
      <w:pPr>
        <w:pStyle w:val="48"/>
      </w:pPr>
    </w:p>
    <w:p>
      <w:pPr>
        <w:widowControl/>
        <w:jc w:val="left"/>
      </w:pPr>
    </w:p>
    <w:p>
      <w:pPr>
        <w:spacing w:line="360" w:lineRule="auto"/>
        <w:jc w:val="center"/>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w:t>
      </w:r>
      <w:r>
        <w:rPr>
          <w:rFonts w:hint="eastAsia" w:ascii="宋体" w:hAnsi="宋体"/>
          <w:b/>
          <w:sz w:val="32"/>
          <w:szCs w:val="32"/>
          <w:lang w:val="en-US" w:eastAsia="zh-CN"/>
        </w:rPr>
        <w:t>一</w:t>
      </w:r>
      <w:r>
        <w:rPr>
          <w:rFonts w:hint="eastAsia" w:ascii="宋体" w:hAnsi="宋体"/>
          <w:b/>
          <w:sz w:val="32"/>
          <w:szCs w:val="32"/>
        </w:rPr>
        <w:t>、最后报价表</w:t>
      </w:r>
    </w:p>
    <w:p>
      <w:pPr>
        <w:pStyle w:val="48"/>
      </w:pPr>
    </w:p>
    <w:tbl>
      <w:tblPr>
        <w:tblStyle w:val="47"/>
        <w:tblW w:w="8379" w:type="dxa"/>
        <w:jc w:val="center"/>
        <w:tblInd w:w="0" w:type="dxa"/>
        <w:tblLayout w:type="fixed"/>
        <w:tblCellMar>
          <w:top w:w="0" w:type="dxa"/>
          <w:left w:w="108" w:type="dxa"/>
          <w:bottom w:w="0" w:type="dxa"/>
          <w:right w:w="108" w:type="dxa"/>
        </w:tblCellMar>
      </w:tblPr>
      <w:tblGrid>
        <w:gridCol w:w="1716"/>
        <w:gridCol w:w="6663"/>
      </w:tblGrid>
      <w:tr>
        <w:tblPrEx>
          <w:tblLayout w:type="fixed"/>
          <w:tblCellMar>
            <w:top w:w="0" w:type="dxa"/>
            <w:left w:w="108" w:type="dxa"/>
            <w:bottom w:w="0" w:type="dxa"/>
            <w:right w:w="108" w:type="dxa"/>
          </w:tblCellMar>
        </w:tblPrEx>
        <w:trPr>
          <w:trHeight w:val="614"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项目名称</w:t>
            </w:r>
          </w:p>
        </w:tc>
        <w:tc>
          <w:tcPr>
            <w:tcW w:w="66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92"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采购编号</w:t>
            </w:r>
          </w:p>
        </w:tc>
        <w:tc>
          <w:tcPr>
            <w:tcW w:w="66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 w:val="24"/>
              </w:rPr>
            </w:pPr>
          </w:p>
        </w:tc>
      </w:tr>
      <w:tr>
        <w:tblPrEx>
          <w:tblLayout w:type="fixed"/>
          <w:tblCellMar>
            <w:top w:w="0" w:type="dxa"/>
            <w:left w:w="108" w:type="dxa"/>
            <w:bottom w:w="0" w:type="dxa"/>
            <w:right w:w="108" w:type="dxa"/>
          </w:tblCellMar>
        </w:tblPrEx>
        <w:trPr>
          <w:trHeight w:val="1271"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最后报价</w:t>
            </w:r>
          </w:p>
        </w:tc>
        <w:tc>
          <w:tcPr>
            <w:tcW w:w="666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b/>
                <w:sz w:val="24"/>
              </w:rPr>
            </w:pPr>
            <w:r>
              <w:rPr>
                <w:rFonts w:hint="eastAsia" w:ascii="宋体" w:hAnsi="宋体"/>
                <w:b/>
                <w:sz w:val="24"/>
              </w:rPr>
              <w:t>人民币小写：</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元</w:t>
            </w:r>
          </w:p>
          <w:p>
            <w:pPr>
              <w:widowControl/>
              <w:spacing w:line="360" w:lineRule="auto"/>
              <w:rPr>
                <w:rFonts w:ascii="宋体" w:hAnsi="宋体"/>
                <w:b/>
                <w:sz w:val="24"/>
              </w:rPr>
            </w:pPr>
            <w:r>
              <w:rPr>
                <w:rFonts w:hint="eastAsia" w:ascii="宋体" w:hAnsi="宋体"/>
                <w:b/>
                <w:sz w:val="24"/>
              </w:rPr>
              <w:t>人民币大写：</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tc>
      </w:tr>
      <w:tr>
        <w:tblPrEx>
          <w:tblLayout w:type="fixed"/>
          <w:tblCellMar>
            <w:top w:w="0" w:type="dxa"/>
            <w:left w:w="108" w:type="dxa"/>
            <w:bottom w:w="0" w:type="dxa"/>
            <w:right w:w="108" w:type="dxa"/>
          </w:tblCellMar>
        </w:tblPrEx>
        <w:trPr>
          <w:trHeight w:val="692"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备注</w:t>
            </w:r>
          </w:p>
        </w:tc>
        <w:tc>
          <w:tcPr>
            <w:tcW w:w="6663"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b/>
                <w:sz w:val="24"/>
              </w:rPr>
            </w:pPr>
          </w:p>
        </w:tc>
      </w:tr>
    </w:tbl>
    <w:p>
      <w:pPr>
        <w:pStyle w:val="48"/>
      </w:pPr>
    </w:p>
    <w:p>
      <w:pPr>
        <w:adjustRightInd w:val="0"/>
        <w:spacing w:line="360" w:lineRule="auto"/>
        <w:ind w:firstLine="480" w:firstLineChars="200"/>
        <w:jc w:val="left"/>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法定代表人/单位负责人或授权代表（签字）：</w:t>
      </w:r>
      <w:r>
        <w:rPr>
          <w:rFonts w:hint="eastAsia" w:ascii="宋体" w:hAnsi="宋体"/>
          <w:sz w:val="24"/>
          <w:u w:val="single"/>
        </w:rPr>
        <w:t xml:space="preserve">               </w:t>
      </w:r>
    </w:p>
    <w:p>
      <w:pPr>
        <w:pStyle w:val="15"/>
        <w:spacing w:line="360" w:lineRule="auto"/>
        <w:ind w:firstLine="48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pStyle w:val="48"/>
      </w:pPr>
    </w:p>
    <w:p>
      <w:pPr>
        <w:pStyle w:val="48"/>
      </w:pPr>
    </w:p>
    <w:p>
      <w:pPr>
        <w:pStyle w:val="48"/>
      </w:pPr>
    </w:p>
    <w:p>
      <w:pPr>
        <w:spacing w:line="400" w:lineRule="exact"/>
        <w:rPr>
          <w:rFonts w:ascii="宋体" w:hAnsi="宋体" w:cs="宋体"/>
          <w:sz w:val="24"/>
        </w:rPr>
      </w:pPr>
      <w:r>
        <w:rPr>
          <w:rFonts w:hint="eastAsia" w:ascii="宋体" w:hAnsi="宋体" w:cs="宋体"/>
          <w:sz w:val="24"/>
        </w:rPr>
        <w:t>注：</w:t>
      </w:r>
    </w:p>
    <w:p>
      <w:pPr>
        <w:spacing w:line="400" w:lineRule="exact"/>
        <w:rPr>
          <w:rFonts w:ascii="宋体" w:hAnsi="宋体" w:cs="宋体"/>
          <w:sz w:val="24"/>
        </w:rPr>
      </w:pPr>
      <w:r>
        <w:rPr>
          <w:rFonts w:hint="eastAsia" w:ascii="宋体" w:hAnsi="宋体" w:cs="宋体"/>
          <w:sz w:val="24"/>
        </w:rPr>
        <w:t>1、</w:t>
      </w:r>
      <w:r>
        <w:rPr>
          <w:rFonts w:hint="eastAsia" w:ascii="宋体" w:hAnsi="宋体" w:cs="宋体"/>
          <w:b/>
          <w:sz w:val="24"/>
        </w:rPr>
        <w:t>最后报价表不需要封装在响应文件中</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2、最后报价表是谈判结束后，供应商填写，由法定代表人/单位负责人或授权代表签字后密封递交给采购代理机构工作人员，由其收集齐后集中递交谈判小组；</w:t>
      </w:r>
    </w:p>
    <w:p>
      <w:pPr>
        <w:spacing w:line="400" w:lineRule="exact"/>
        <w:rPr>
          <w:rFonts w:ascii="宋体" w:hAnsi="宋体" w:cs="宋体"/>
          <w:sz w:val="24"/>
        </w:rPr>
      </w:pPr>
      <w:r>
        <w:rPr>
          <w:rFonts w:hint="eastAsia" w:ascii="宋体" w:hAnsi="宋体" w:cs="宋体"/>
          <w:sz w:val="24"/>
        </w:rPr>
        <w:t>3、最后报价表供应商可在最后报价时手工填写，也可提前填写；</w:t>
      </w:r>
    </w:p>
    <w:p>
      <w:pPr>
        <w:spacing w:line="400" w:lineRule="exact"/>
        <w:rPr>
          <w:rFonts w:ascii="宋体" w:hAnsi="宋体" w:cs="宋体"/>
          <w:sz w:val="24"/>
        </w:rPr>
      </w:pPr>
      <w:r>
        <w:rPr>
          <w:rFonts w:hint="eastAsia" w:ascii="宋体" w:hAnsi="宋体" w:cs="宋体"/>
          <w:sz w:val="24"/>
        </w:rPr>
        <w:t>4、最后报价包括谈判文件规定的全部相应内容的报价，最后报价只报总价的，各分项报价按总价同比下浮计算。</w:t>
      </w:r>
    </w:p>
    <w:p>
      <w:pPr>
        <w:spacing w:line="400" w:lineRule="exact"/>
        <w:rPr>
          <w:rFonts w:ascii="宋体" w:hAnsi="宋体" w:cs="宋体"/>
          <w:sz w:val="24"/>
        </w:rPr>
      </w:pPr>
    </w:p>
    <w:p>
      <w:pPr>
        <w:widowControl/>
        <w:jc w:val="left"/>
        <w:rPr>
          <w:rFonts w:ascii="宋体" w:hAnsi="宋体"/>
          <w:b/>
          <w:sz w:val="32"/>
          <w:szCs w:val="32"/>
        </w:rPr>
      </w:pPr>
    </w:p>
    <w:p>
      <w:pPr>
        <w:widowControl/>
        <w:jc w:val="left"/>
        <w:rPr>
          <w:rFonts w:ascii="宋体" w:cs="宋体"/>
          <w:color w:val="000000"/>
          <w:kern w:val="0"/>
          <w:sz w:val="24"/>
        </w:rPr>
      </w:pPr>
      <w:r>
        <w:br w:type="page"/>
      </w:r>
    </w:p>
    <w:p>
      <w:pPr>
        <w:pStyle w:val="48"/>
        <w:sectPr>
          <w:footerReference r:id="rId10" w:type="default"/>
          <w:pgSz w:w="11906" w:h="16838"/>
          <w:pgMar w:top="1440" w:right="1800" w:bottom="1440" w:left="1800" w:header="851" w:footer="992" w:gutter="0"/>
          <w:cols w:space="720" w:num="1"/>
          <w:docGrid w:type="lines" w:linePitch="312" w:charSpace="0"/>
        </w:sectPr>
      </w:pPr>
    </w:p>
    <w:bookmarkEnd w:id="44"/>
    <w:p>
      <w:pPr>
        <w:pStyle w:val="3"/>
        <w:spacing w:line="400" w:lineRule="exact"/>
        <w:jc w:val="center"/>
        <w:rPr>
          <w:rFonts w:ascii="宋体" w:hAnsi="宋体"/>
          <w:sz w:val="36"/>
          <w:szCs w:val="36"/>
        </w:rPr>
      </w:pPr>
      <w:bookmarkStart w:id="45" w:name="_Toc24786"/>
      <w:bookmarkStart w:id="46" w:name="_Toc32441"/>
      <w:r>
        <w:rPr>
          <w:rFonts w:hint="eastAsia" w:ascii="宋体" w:hAnsi="宋体"/>
          <w:sz w:val="36"/>
          <w:szCs w:val="36"/>
        </w:rPr>
        <w:t>第九章  评</w:t>
      </w:r>
      <w:bookmarkEnd w:id="45"/>
      <w:bookmarkStart w:id="47" w:name="_Hlt101846155"/>
      <w:bookmarkEnd w:id="47"/>
      <w:bookmarkStart w:id="48" w:name="_Toc183682415"/>
      <w:bookmarkStart w:id="49" w:name="_Toc183582280"/>
      <w:bookmarkStart w:id="50" w:name="_Toc217446097"/>
      <w:bookmarkStart w:id="51" w:name="_Toc208849007"/>
      <w:r>
        <w:rPr>
          <w:rFonts w:hint="eastAsia" w:ascii="宋体" w:hAnsi="宋体"/>
          <w:sz w:val="36"/>
          <w:szCs w:val="36"/>
        </w:rPr>
        <w:t>审方法</w:t>
      </w:r>
      <w:bookmarkEnd w:id="46"/>
    </w:p>
    <w:p>
      <w:pPr>
        <w:pStyle w:val="4"/>
        <w:rPr>
          <w:rFonts w:ascii="宋体" w:hAnsi="宋体" w:eastAsia="宋体"/>
          <w:sz w:val="24"/>
          <w:szCs w:val="24"/>
        </w:rPr>
      </w:pPr>
      <w:r>
        <w:rPr>
          <w:rFonts w:hint="eastAsia" w:ascii="宋体" w:hAnsi="宋体" w:eastAsia="宋体"/>
          <w:sz w:val="24"/>
          <w:szCs w:val="24"/>
        </w:rPr>
        <w:t>1. 总则</w:t>
      </w:r>
      <w:bookmarkEnd w:id="48"/>
      <w:bookmarkEnd w:id="49"/>
      <w:bookmarkEnd w:id="50"/>
      <w:bookmarkEnd w:id="51"/>
    </w:p>
    <w:p>
      <w:pPr>
        <w:spacing w:line="400" w:lineRule="exact"/>
        <w:ind w:firstLine="480" w:firstLineChars="200"/>
        <w:rPr>
          <w:rFonts w:ascii="宋体" w:hAnsi="宋体"/>
          <w:sz w:val="24"/>
        </w:rPr>
      </w:pPr>
      <w:r>
        <w:rPr>
          <w:rFonts w:hint="eastAsia" w:ascii="宋体" w:hAnsi="宋体"/>
          <w:sz w:val="24"/>
        </w:rPr>
        <w:t>1.1 参照采购相关法规，结合本采购项目特点制定本次谈判采购评审方法。</w:t>
      </w:r>
    </w:p>
    <w:p>
      <w:pPr>
        <w:spacing w:line="400" w:lineRule="exact"/>
        <w:ind w:firstLine="480" w:firstLineChars="200"/>
        <w:rPr>
          <w:rFonts w:ascii="宋体" w:hAnsi="宋体"/>
          <w:sz w:val="24"/>
        </w:rPr>
      </w:pPr>
      <w:bookmarkStart w:id="52" w:name="_Toc23042"/>
      <w:r>
        <w:rPr>
          <w:rFonts w:hint="eastAsia" w:ascii="宋体" w:hAnsi="宋体"/>
          <w:sz w:val="24"/>
        </w:rPr>
        <w:t>1.2 谈判工作由</w:t>
      </w:r>
      <w:r>
        <w:rPr>
          <w:rFonts w:hint="eastAsia" w:ascii="宋体" w:hAnsi="宋体"/>
          <w:sz w:val="24"/>
          <w:lang w:val="en-US" w:eastAsia="zh-CN"/>
        </w:rPr>
        <w:t>采购人</w:t>
      </w:r>
      <w:r>
        <w:rPr>
          <w:rFonts w:hint="eastAsia" w:ascii="宋体" w:hAnsi="宋体"/>
          <w:sz w:val="24"/>
        </w:rPr>
        <w:t>负责组织，具体谈判由</w:t>
      </w:r>
      <w:r>
        <w:rPr>
          <w:rFonts w:hint="eastAsia" w:ascii="宋体" w:hAnsi="宋体"/>
          <w:sz w:val="24"/>
          <w:lang w:val="en-US" w:eastAsia="zh-CN"/>
        </w:rPr>
        <w:t>采购人</w:t>
      </w:r>
      <w:r>
        <w:rPr>
          <w:rFonts w:hint="eastAsia" w:ascii="宋体" w:hAnsi="宋体"/>
          <w:sz w:val="24"/>
        </w:rPr>
        <w:t>依法组建的谈判小组负责。</w:t>
      </w:r>
    </w:p>
    <w:p>
      <w:pPr>
        <w:spacing w:line="400" w:lineRule="exact"/>
        <w:ind w:firstLine="480" w:firstLineChars="200"/>
        <w:rPr>
          <w:rFonts w:ascii="宋体" w:hAnsi="宋体"/>
          <w:sz w:val="24"/>
        </w:rPr>
      </w:pPr>
      <w:r>
        <w:rPr>
          <w:rFonts w:hint="eastAsia" w:ascii="宋体" w:hAnsi="宋体"/>
          <w:sz w:val="24"/>
        </w:rPr>
        <w:t>1.3 谈判工作应遵循公平、公正、科学及择优的原则，并以相同的谈判程序和标准对待所有的供应商。</w:t>
      </w:r>
    </w:p>
    <w:p>
      <w:pPr>
        <w:spacing w:line="400" w:lineRule="exact"/>
        <w:ind w:firstLine="480" w:firstLineChars="200"/>
        <w:rPr>
          <w:rFonts w:ascii="宋体" w:hAnsi="宋体"/>
          <w:sz w:val="24"/>
        </w:rPr>
      </w:pPr>
      <w:bookmarkStart w:id="53" w:name="_Toc217446098"/>
      <w:r>
        <w:rPr>
          <w:rFonts w:hint="eastAsia" w:ascii="宋体" w:hAnsi="宋体"/>
          <w:sz w:val="24"/>
        </w:rPr>
        <w:t>1.4 谈判小组按照谈判文件规定的谈判程序、评分方法和标准进行评审，并独立履行下列职责：</w:t>
      </w:r>
    </w:p>
    <w:p>
      <w:pPr>
        <w:spacing w:line="400" w:lineRule="exact"/>
        <w:ind w:firstLine="480" w:firstLineChars="200"/>
        <w:rPr>
          <w:rFonts w:ascii="宋体" w:hAnsi="宋体"/>
          <w:sz w:val="24"/>
        </w:rPr>
      </w:pPr>
      <w:r>
        <w:rPr>
          <w:rFonts w:hint="eastAsia" w:ascii="宋体" w:hAnsi="宋体"/>
          <w:sz w:val="24"/>
        </w:rPr>
        <w:t>（一）熟悉和理解谈判文件，确定谈判文件内容是否违反国家有关强制性规定或者谈判文件存在歧义、重大缺陷，根据需要书面要求采购人对谈判文件作出解释；</w:t>
      </w:r>
    </w:p>
    <w:p>
      <w:pPr>
        <w:spacing w:line="400" w:lineRule="exact"/>
        <w:ind w:firstLine="480" w:firstLineChars="200"/>
        <w:rPr>
          <w:rFonts w:ascii="宋体" w:hAnsi="宋体"/>
          <w:sz w:val="24"/>
        </w:rPr>
      </w:pPr>
      <w:r>
        <w:rPr>
          <w:rFonts w:hint="eastAsia" w:ascii="宋体" w:hAnsi="宋体"/>
          <w:sz w:val="24"/>
        </w:rPr>
        <w:t>（二）审查供应商响应文件是否满足谈判文件要求，并作出公正评价；</w:t>
      </w:r>
    </w:p>
    <w:p>
      <w:pPr>
        <w:spacing w:line="400" w:lineRule="exact"/>
        <w:ind w:firstLine="480" w:firstLineChars="200"/>
        <w:rPr>
          <w:rFonts w:ascii="宋体" w:hAnsi="宋体"/>
          <w:sz w:val="24"/>
        </w:rPr>
      </w:pPr>
      <w:r>
        <w:rPr>
          <w:rFonts w:hint="eastAsia" w:ascii="宋体" w:hAnsi="宋体"/>
          <w:sz w:val="24"/>
        </w:rPr>
        <w:t>（三）根据需要要求供应商对响应文件中含义不明确、同类问题表述不一致或者有明显文字和计算错误的内容等作出必要的澄清、说明或者更正；</w:t>
      </w:r>
    </w:p>
    <w:p>
      <w:pPr>
        <w:spacing w:line="400" w:lineRule="exact"/>
        <w:ind w:firstLine="480" w:firstLineChars="200"/>
        <w:rPr>
          <w:rFonts w:ascii="宋体" w:hAnsi="宋体"/>
          <w:sz w:val="24"/>
        </w:rPr>
      </w:pPr>
      <w:r>
        <w:rPr>
          <w:rFonts w:hint="eastAsia" w:ascii="宋体" w:hAnsi="宋体"/>
          <w:sz w:val="24"/>
        </w:rPr>
        <w:t>（四）推荐成交供应商，或者受采购人委托确定成交供应商；</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五</w:t>
      </w:r>
      <w:r>
        <w:rPr>
          <w:rFonts w:hint="eastAsia" w:ascii="宋体" w:hAnsi="宋体"/>
          <w:sz w:val="24"/>
        </w:rPr>
        <w:t>）向采购人或者其他监督部门报告非法干预评审工作的行为；</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六</w:t>
      </w:r>
      <w:r>
        <w:rPr>
          <w:rFonts w:hint="eastAsia" w:ascii="宋体" w:hAnsi="宋体"/>
          <w:sz w:val="24"/>
        </w:rPr>
        <w:t>）法律、法规和规章规定的其他职责。</w:t>
      </w:r>
    </w:p>
    <w:p>
      <w:pPr>
        <w:spacing w:line="400" w:lineRule="exact"/>
        <w:ind w:firstLine="480" w:firstLineChars="200"/>
        <w:rPr>
          <w:rFonts w:ascii="宋体" w:hAnsi="宋体"/>
          <w:sz w:val="24"/>
        </w:rPr>
      </w:pPr>
      <w:r>
        <w:rPr>
          <w:rFonts w:hint="eastAsia" w:ascii="宋体" w:hAnsi="宋体"/>
          <w:sz w:val="24"/>
        </w:rPr>
        <w:t>1.5谈判过程独立、保密。供应商非法干预谈判过程的，其响应文件作无效处理。</w:t>
      </w:r>
    </w:p>
    <w:p>
      <w:pPr>
        <w:spacing w:line="400" w:lineRule="exact"/>
        <w:ind w:firstLine="480" w:firstLineChars="200"/>
        <w:rPr>
          <w:rFonts w:ascii="宋体" w:hAnsi="宋体"/>
          <w:sz w:val="24"/>
        </w:rPr>
      </w:pPr>
      <w:r>
        <w:rPr>
          <w:rFonts w:hint="eastAsia" w:ascii="宋体" w:hAnsi="宋体"/>
          <w:sz w:val="24"/>
        </w:rPr>
        <w:t>1.6 谈判评审响应文件的响应性，除谈判小组要求其澄清、说明或者更正而提供的资料外，仅依据响应文件本身的内容，不寻求其他外部证据。</w:t>
      </w:r>
    </w:p>
    <w:p>
      <w:pPr>
        <w:pStyle w:val="4"/>
        <w:rPr>
          <w:rFonts w:ascii="宋体" w:hAnsi="宋体" w:eastAsia="宋体"/>
          <w:sz w:val="24"/>
          <w:szCs w:val="24"/>
        </w:rPr>
      </w:pPr>
      <w:r>
        <w:rPr>
          <w:rFonts w:hint="eastAsia" w:ascii="宋体" w:hAnsi="宋体" w:eastAsia="宋体"/>
          <w:sz w:val="24"/>
          <w:szCs w:val="24"/>
        </w:rPr>
        <w:t>2、</w:t>
      </w:r>
      <w:bookmarkEnd w:id="53"/>
      <w:r>
        <w:rPr>
          <w:rFonts w:hint="eastAsia" w:ascii="宋体" w:hAnsi="宋体" w:eastAsia="宋体"/>
          <w:sz w:val="24"/>
          <w:szCs w:val="24"/>
        </w:rPr>
        <w:t>评审程序</w:t>
      </w:r>
    </w:p>
    <w:p>
      <w:pPr>
        <w:spacing w:line="400" w:lineRule="exact"/>
        <w:ind w:firstLine="480" w:firstLineChars="200"/>
        <w:rPr>
          <w:rFonts w:ascii="宋体" w:hAnsi="宋体"/>
          <w:sz w:val="24"/>
        </w:rPr>
      </w:pPr>
      <w:r>
        <w:rPr>
          <w:rFonts w:hint="eastAsia" w:ascii="宋体" w:hAnsi="宋体"/>
          <w:sz w:val="24"/>
        </w:rPr>
        <w:t>2.1熟悉和理解谈判文件和停止评审。</w:t>
      </w:r>
    </w:p>
    <w:p>
      <w:pPr>
        <w:spacing w:line="400" w:lineRule="exact"/>
        <w:ind w:firstLine="480" w:firstLineChars="200"/>
        <w:rPr>
          <w:rFonts w:ascii="宋体" w:hAnsi="宋体"/>
          <w:sz w:val="24"/>
        </w:rPr>
      </w:pPr>
      <w:r>
        <w:rPr>
          <w:rFonts w:hint="eastAsia" w:ascii="宋体" w:hAnsi="宋体"/>
          <w:sz w:val="24"/>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spacing w:line="400" w:lineRule="exact"/>
        <w:ind w:firstLine="480" w:firstLineChars="200"/>
        <w:rPr>
          <w:rFonts w:ascii="宋体" w:hAnsi="宋体"/>
          <w:sz w:val="24"/>
        </w:rPr>
      </w:pPr>
      <w:r>
        <w:rPr>
          <w:rFonts w:hint="eastAsia" w:ascii="宋体" w:hAnsi="宋体"/>
          <w:sz w:val="24"/>
        </w:rPr>
        <w:t>2.1.2 本谈判文件有下列情形之一的，谈判小组应当停止评审：</w:t>
      </w:r>
    </w:p>
    <w:p>
      <w:pPr>
        <w:spacing w:line="400" w:lineRule="exact"/>
        <w:ind w:firstLine="480" w:firstLineChars="200"/>
        <w:rPr>
          <w:rFonts w:ascii="宋体" w:hAnsi="宋体"/>
          <w:sz w:val="24"/>
        </w:rPr>
      </w:pPr>
      <w:r>
        <w:rPr>
          <w:rFonts w:hint="eastAsia" w:ascii="宋体" w:hAnsi="宋体"/>
          <w:sz w:val="24"/>
        </w:rPr>
        <w:t>（1）谈判文件的规定存在歧义、重大缺陷，导致评审无法进行的；</w:t>
      </w:r>
    </w:p>
    <w:p>
      <w:pPr>
        <w:spacing w:line="400" w:lineRule="exact"/>
        <w:ind w:firstLine="480" w:firstLineChars="200"/>
        <w:rPr>
          <w:rFonts w:ascii="宋体" w:hAnsi="宋体"/>
          <w:sz w:val="24"/>
        </w:rPr>
      </w:pPr>
      <w:r>
        <w:rPr>
          <w:rFonts w:hint="eastAsia" w:ascii="宋体" w:hAnsi="宋体"/>
          <w:sz w:val="24"/>
        </w:rPr>
        <w:t>（2）谈判文件明显以不合理条件对供应商实行差别待遇或者歧视待遇的；</w:t>
      </w:r>
    </w:p>
    <w:p>
      <w:pPr>
        <w:spacing w:line="400" w:lineRule="exact"/>
        <w:ind w:firstLine="480" w:firstLineChars="200"/>
        <w:rPr>
          <w:rFonts w:ascii="宋体" w:hAnsi="宋体"/>
          <w:sz w:val="24"/>
        </w:rPr>
      </w:pPr>
      <w:r>
        <w:rPr>
          <w:rFonts w:hint="eastAsia" w:ascii="宋体" w:hAnsi="宋体"/>
          <w:sz w:val="24"/>
        </w:rPr>
        <w:t>（3）谈判文件载明的成交原则不合法的；</w:t>
      </w:r>
    </w:p>
    <w:p>
      <w:pPr>
        <w:spacing w:line="400" w:lineRule="exact"/>
        <w:ind w:firstLine="480" w:firstLineChars="200"/>
        <w:rPr>
          <w:rFonts w:ascii="宋体" w:hAnsi="宋体"/>
          <w:sz w:val="24"/>
        </w:rPr>
      </w:pPr>
      <w:r>
        <w:rPr>
          <w:rFonts w:hint="eastAsia" w:ascii="宋体" w:hAnsi="宋体"/>
          <w:sz w:val="24"/>
        </w:rPr>
        <w:t>（4）谈判文件有违反国家其他有关强制性规定的情形。</w:t>
      </w:r>
    </w:p>
    <w:p>
      <w:pPr>
        <w:spacing w:line="400" w:lineRule="exact"/>
        <w:ind w:firstLine="480" w:firstLineChars="200"/>
        <w:rPr>
          <w:rFonts w:ascii="宋体" w:hAnsi="宋体"/>
          <w:sz w:val="24"/>
        </w:rPr>
      </w:pPr>
      <w:r>
        <w:rPr>
          <w:rFonts w:hint="eastAsia" w:ascii="宋体" w:hAnsi="宋体"/>
          <w:sz w:val="24"/>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2.2 资格性审查。</w:t>
      </w:r>
    </w:p>
    <w:p>
      <w:pPr>
        <w:adjustRightInd w:val="0"/>
        <w:snapToGrid w:val="0"/>
        <w:spacing w:line="400" w:lineRule="exact"/>
        <w:ind w:firstLine="480" w:firstLineChars="200"/>
        <w:rPr>
          <w:rFonts w:ascii="宋体" w:hAnsi="宋体"/>
          <w:bCs/>
          <w:sz w:val="24"/>
        </w:rPr>
      </w:pPr>
      <w:r>
        <w:rPr>
          <w:rFonts w:hint="eastAsia" w:ascii="宋体" w:hAnsi="宋体"/>
          <w:bCs/>
          <w:sz w:val="24"/>
        </w:rPr>
        <w:t>本项目需要谈判小组进行资格性检查。</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2.2.1谈判小组应依据法律法规和谈判文件的规定，对响应文件是否按照规定要求提供资格性证明材料、是否属于禁止参加谈判的供应商等进行审查，以确定供应商是否具备谈判资格。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2.2.2资格性审查结束后，谈判小组应当出具资格性审查报告，没有通过资格审查的供应商，谈判小组应当在资格审查报告中说明原因。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2.2.3谈判小组应依据谈判文件规定的所有实质性要求，对符合资格的响应文件进行有效性、完整性和响应程度审查，以确定参加谈判的供应商名单。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2.2.4</w:t>
      </w:r>
      <w:r>
        <w:rPr>
          <w:rFonts w:hint="eastAsia" w:ascii="宋体" w:hAnsi="宋体" w:eastAsia="宋体"/>
          <w:b w:val="0"/>
          <w:sz w:val="24"/>
          <w:szCs w:val="24"/>
          <w:lang w:val="en-US" w:eastAsia="zh-CN"/>
        </w:rPr>
        <w:t>采购人</w:t>
      </w:r>
      <w:r>
        <w:rPr>
          <w:rFonts w:hint="eastAsia" w:ascii="宋体" w:hAnsi="宋体" w:eastAsia="宋体"/>
          <w:b w:val="0"/>
          <w:sz w:val="24"/>
          <w:szCs w:val="24"/>
        </w:rPr>
        <w:t>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2.3通过资格性审查的供应商不足</w:t>
      </w:r>
      <w:r>
        <w:rPr>
          <w:rFonts w:hint="eastAsia" w:ascii="宋体" w:hAnsi="宋体" w:eastAsia="宋体"/>
          <w:b w:val="0"/>
          <w:sz w:val="24"/>
        </w:rPr>
        <w:t>3</w:t>
      </w:r>
      <w:r>
        <w:rPr>
          <w:rFonts w:hint="eastAsia" w:ascii="宋体" w:hAnsi="宋体" w:eastAsia="宋体"/>
          <w:b w:val="0"/>
          <w:sz w:val="24"/>
          <w:szCs w:val="24"/>
        </w:rPr>
        <w:t>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2.4 谈判</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color w:val="000000"/>
          <w:sz w:val="24"/>
          <w:szCs w:val="24"/>
        </w:rPr>
        <w:t>2.4.1</w:t>
      </w:r>
      <w:r>
        <w:rPr>
          <w:rFonts w:hint="eastAsia" w:ascii="宋体" w:hAnsi="宋体" w:eastAsia="宋体"/>
          <w:b w:val="0"/>
          <w:sz w:val="24"/>
          <w:szCs w:val="24"/>
        </w:rPr>
        <w:t>谈判小组所有成员集中与单一供应商分别进行一轮或</w:t>
      </w:r>
      <w:r>
        <w:rPr>
          <w:rFonts w:hint="eastAsia" w:ascii="宋体" w:hAnsi="宋体" w:eastAsia="宋体"/>
          <w:b w:val="0"/>
          <w:sz w:val="24"/>
          <w:szCs w:val="24"/>
          <w:lang w:val="en-US" w:eastAsia="zh-CN"/>
        </w:rPr>
        <w:t>二轮</w:t>
      </w:r>
      <w:r>
        <w:rPr>
          <w:rFonts w:hint="eastAsia" w:ascii="宋体" w:hAnsi="宋体" w:eastAsia="宋体"/>
          <w:b w:val="0"/>
          <w:sz w:val="24"/>
          <w:szCs w:val="24"/>
        </w:rPr>
        <w:t>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2.4.2每轮谈判开始前，谈判小组应根据谈判文件的规定，并结合各供应商的响应文件拟定谈判内容。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2.4.4对谈判文件作出的实质性变动是谈判文件的有效组成部分，谈判小组应当及时以书面形式同时通知所有参加谈判的供应商。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2.4.5谈判过程中，谈判文件变动的，供应商应当按照谈判文件的变动情况和谈判小组的要求重新提交响应文件，并由其法定代表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2.4.6谈判过程中，谈判的任何一方不得透露与谈判有关的其他供应商的技术资料、价格和其他信息。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2.4.7谈判过程中，谈判小组发现或者知晓供应商存在违法、违纪行为的，谈判小组应当将该供应商淘汰，不允许其提交最后报价。</w:t>
      </w:r>
    </w:p>
    <w:p>
      <w:pPr>
        <w:spacing w:line="400" w:lineRule="exact"/>
        <w:ind w:firstLine="480" w:firstLineChars="200"/>
        <w:rPr>
          <w:rFonts w:ascii="宋体" w:hAnsi="宋体"/>
          <w:sz w:val="24"/>
        </w:rPr>
      </w:pPr>
      <w:r>
        <w:rPr>
          <w:rFonts w:hint="eastAsia" w:ascii="宋体" w:hAnsi="宋体"/>
          <w:color w:val="000000"/>
          <w:sz w:val="24"/>
        </w:rPr>
        <w:t>2.4.8谈判完成后，谈判小组应出具谈判情况记录表，谈判情况记录表需包含谈判内容、谈判意见、实质性变动内容等。</w:t>
      </w:r>
    </w:p>
    <w:p>
      <w:pPr>
        <w:spacing w:line="400" w:lineRule="exact"/>
        <w:ind w:firstLine="480" w:firstLineChars="200"/>
        <w:rPr>
          <w:sz w:val="24"/>
        </w:rPr>
      </w:pPr>
      <w:r>
        <w:rPr>
          <w:rFonts w:hint="eastAsia" w:ascii="宋体" w:hAnsi="宋体"/>
          <w:color w:val="000000"/>
          <w:sz w:val="24"/>
        </w:rPr>
        <w:t>2.5</w:t>
      </w:r>
      <w:r>
        <w:rPr>
          <w:rFonts w:hint="eastAsia"/>
          <w:sz w:val="24"/>
        </w:rPr>
        <w:t>最后报价。</w:t>
      </w:r>
    </w:p>
    <w:p>
      <w:pPr>
        <w:spacing w:line="400" w:lineRule="exact"/>
        <w:ind w:firstLine="480" w:firstLineChars="200"/>
        <w:rPr>
          <w:sz w:val="24"/>
        </w:rPr>
      </w:pPr>
      <w:r>
        <w:rPr>
          <w:rFonts w:hint="eastAsia" w:ascii="宋体" w:hAnsi="宋体"/>
          <w:sz w:val="24"/>
        </w:rPr>
        <w:t>2.5.1</w:t>
      </w:r>
      <w:r>
        <w:rPr>
          <w:rFonts w:hint="eastAsia"/>
          <w:sz w:val="24"/>
        </w:rPr>
        <w:t>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color w:val="0000FF"/>
          <w:sz w:val="24"/>
        </w:rPr>
      </w:pPr>
      <w:r>
        <w:rPr>
          <w:rFonts w:hint="eastAsia" w:ascii="宋体" w:hAnsi="宋体"/>
          <w:sz w:val="24"/>
        </w:rPr>
        <w:t>2.5.2</w:t>
      </w:r>
      <w:r>
        <w:rPr>
          <w:rFonts w:hint="eastAsia"/>
          <w:sz w:val="24"/>
        </w:rPr>
        <w:t>谈判结束后，谈判小组应当要求所有实质性响应的供应商在规定时间内提交最后报价。两轮（若有）</w:t>
      </w:r>
      <w:r>
        <w:rPr>
          <w:rFonts w:hint="eastAsia"/>
          <w:sz w:val="24"/>
          <w:lang w:val="en-US" w:eastAsia="zh-CN"/>
        </w:rPr>
        <w:t>及</w:t>
      </w:r>
      <w:r>
        <w:rPr>
          <w:rFonts w:hint="eastAsia"/>
          <w:sz w:val="24"/>
        </w:rPr>
        <w:t>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sz w:val="24"/>
        </w:rPr>
      </w:pPr>
      <w:r>
        <w:rPr>
          <w:rFonts w:hint="eastAsia" w:ascii="宋体" w:hAnsi="宋体"/>
          <w:sz w:val="24"/>
        </w:rPr>
        <w:t>2.5.3</w:t>
      </w:r>
      <w:r>
        <w:rPr>
          <w:rFonts w:hint="eastAsia"/>
          <w:sz w:val="24"/>
        </w:rPr>
        <w:t>供应商最后报价应当由法定代表人或其授权代表签字确认或加盖公章。最后报价是供应商响应文件的有效组成部分。</w:t>
      </w:r>
    </w:p>
    <w:p>
      <w:pPr>
        <w:spacing w:line="400" w:lineRule="exact"/>
        <w:ind w:firstLine="480" w:firstLineChars="200"/>
        <w:rPr>
          <w:sz w:val="24"/>
        </w:rPr>
      </w:pPr>
      <w:r>
        <w:rPr>
          <w:rFonts w:hint="eastAsia"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sz w:val="24"/>
        </w:rPr>
      </w:pPr>
      <w:r>
        <w:rPr>
          <w:rFonts w:hint="eastAsia" w:ascii="宋体" w:hAnsi="宋体"/>
          <w:sz w:val="24"/>
        </w:rPr>
        <w:t>2.6</w:t>
      </w:r>
      <w:r>
        <w:rPr>
          <w:rFonts w:hint="eastAsia"/>
          <w:sz w:val="24"/>
        </w:rPr>
        <w:t xml:space="preserve">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sz w:val="24"/>
        </w:rPr>
      </w:pPr>
      <w:r>
        <w:rPr>
          <w:rFonts w:hint="eastAsia" w:ascii="宋体" w:hAnsi="宋体"/>
          <w:sz w:val="24"/>
        </w:rPr>
        <w:t>2.7</w:t>
      </w:r>
      <w:r>
        <w:rPr>
          <w:rFonts w:hint="eastAsia"/>
          <w:sz w:val="24"/>
        </w:rPr>
        <w:t>推荐成交候选供应商。谈判小组复核后，应当按照供应商的报价由低到高顺序推荐3家以上成交候选供应商。供应商报价相同的，成交候选供应商并列，由采购人自主采取公平择优的方式选择成交供应商。</w:t>
      </w:r>
    </w:p>
    <w:p>
      <w:pPr>
        <w:spacing w:line="400" w:lineRule="exact"/>
        <w:ind w:firstLine="480" w:firstLineChars="200"/>
        <w:rPr>
          <w:rFonts w:hint="default" w:eastAsia="宋体"/>
          <w:sz w:val="24"/>
          <w:lang w:val="en-US" w:eastAsia="zh-CN"/>
        </w:rPr>
      </w:pPr>
      <w:r>
        <w:rPr>
          <w:rFonts w:hint="eastAsia" w:ascii="宋体" w:hAnsi="宋体"/>
          <w:sz w:val="24"/>
        </w:rPr>
        <w:t>2.8</w:t>
      </w:r>
      <w:r>
        <w:rPr>
          <w:rFonts w:hint="eastAsia"/>
          <w:sz w:val="24"/>
        </w:rPr>
        <w:t>采购</w:t>
      </w:r>
      <w:r>
        <w:rPr>
          <w:rFonts w:hint="eastAsia"/>
          <w:sz w:val="24"/>
          <w:lang w:val="en-US" w:eastAsia="zh-CN"/>
        </w:rPr>
        <w:t>人委派监督人员全过程监督。</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9</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10</w:t>
      </w:r>
      <w:r>
        <w:rPr>
          <w:rFonts w:hint="eastAsia"/>
          <w:sz w:val="24"/>
        </w:rPr>
        <w:t>供应商澄清、说明</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10</w:t>
      </w:r>
      <w:r>
        <w:rPr>
          <w:rFonts w:hint="eastAsia" w:ascii="宋体" w:hAnsi="宋体"/>
          <w:sz w:val="24"/>
        </w:rPr>
        <w:t>.1</w:t>
      </w: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10</w:t>
      </w:r>
      <w:r>
        <w:rPr>
          <w:rFonts w:hint="eastAsia" w:ascii="宋体" w:hAnsi="宋体"/>
          <w:sz w:val="24"/>
        </w:rPr>
        <w:t>.2谈判小组要求供应商澄清、说明或者更正响应文件应当以书面形式作出。供应商</w:t>
      </w:r>
      <w:r>
        <w:rPr>
          <w:rFonts w:hint="eastAsia"/>
          <w:sz w:val="24"/>
        </w:rPr>
        <w:t>的澄清、说明或者更正应当由法定代表人或其授权代表签字或者加盖公章。</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11</w:t>
      </w:r>
      <w:r>
        <w:rPr>
          <w:rFonts w:hint="eastAsia"/>
          <w:sz w:val="24"/>
        </w:rPr>
        <w:t>终止谈判采购活动。</w:t>
      </w:r>
    </w:p>
    <w:p>
      <w:pPr>
        <w:spacing w:line="400" w:lineRule="exact"/>
        <w:ind w:firstLine="480" w:firstLineChars="200"/>
        <w:rPr>
          <w:sz w:val="24"/>
        </w:rPr>
      </w:pPr>
      <w:r>
        <w:rPr>
          <w:rFonts w:hint="eastAsia"/>
          <w:sz w:val="24"/>
        </w:rPr>
        <w:t>出现下列情形之一的，采购人应当终止竞争性谈判采购活动，发布项目终止公告并说明原因，重新开展采购活动：</w:t>
      </w:r>
    </w:p>
    <w:p>
      <w:pPr>
        <w:spacing w:line="400" w:lineRule="exact"/>
        <w:ind w:firstLine="360" w:firstLineChars="150"/>
        <w:rPr>
          <w:sz w:val="24"/>
        </w:rPr>
      </w:pPr>
      <w:r>
        <w:rPr>
          <w:rFonts w:hint="eastAsia"/>
          <w:sz w:val="24"/>
        </w:rPr>
        <w:t>（1）因情况变化，不再符合规定的竞争性谈判采购方式适用情形的；</w:t>
      </w:r>
    </w:p>
    <w:p>
      <w:pPr>
        <w:spacing w:line="400" w:lineRule="exact"/>
        <w:ind w:firstLine="360" w:firstLineChars="150"/>
        <w:rPr>
          <w:sz w:val="24"/>
        </w:rPr>
      </w:pPr>
      <w:r>
        <w:rPr>
          <w:rFonts w:hint="eastAsia"/>
          <w:sz w:val="24"/>
        </w:rPr>
        <w:t>（2）出现影响采购公正的违法、违规行为的；</w:t>
      </w:r>
    </w:p>
    <w:p>
      <w:pPr>
        <w:spacing w:line="400" w:lineRule="exact"/>
        <w:ind w:firstLine="360" w:firstLineChars="150"/>
        <w:rPr>
          <w:sz w:val="24"/>
        </w:rPr>
      </w:pPr>
      <w:r>
        <w:rPr>
          <w:rFonts w:hint="eastAsia"/>
          <w:sz w:val="24"/>
        </w:rPr>
        <w:t>（3）在采购过程中符合要求的供应商或者报价未超过采购预算的供应商不足</w:t>
      </w:r>
      <w:r>
        <w:rPr>
          <w:rFonts w:hint="eastAsia" w:ascii="宋体" w:hAnsi="宋体" w:cs="宋体"/>
          <w:sz w:val="24"/>
        </w:rPr>
        <w:t>3</w:t>
      </w:r>
      <w:r>
        <w:rPr>
          <w:rFonts w:hint="eastAsia"/>
          <w:sz w:val="24"/>
        </w:rPr>
        <w:t>家的。</w:t>
      </w:r>
    </w:p>
    <w:p>
      <w:pPr>
        <w:tabs>
          <w:tab w:val="left" w:pos="851"/>
        </w:tabs>
        <w:spacing w:line="400" w:lineRule="exact"/>
        <w:ind w:firstLine="482" w:firstLineChars="200"/>
        <w:rPr>
          <w:rFonts w:ascii="宋体" w:hAnsi="宋体"/>
          <w:b/>
          <w:color w:val="000000"/>
          <w:sz w:val="24"/>
        </w:rPr>
      </w:pPr>
      <w:r>
        <w:rPr>
          <w:rFonts w:hint="eastAsia" w:ascii="宋体" w:hAnsi="宋体"/>
          <w:b/>
          <w:color w:val="000000"/>
          <w:sz w:val="24"/>
        </w:rPr>
        <w:t>3．谈判纪律及注意事项</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3.3</w:t>
      </w:r>
      <w:r>
        <w:rPr>
          <w:rFonts w:hint="eastAsia"/>
          <w:sz w:val="24"/>
        </w:rPr>
        <w:t>对各供应商的商业秘密，谈判小组成员应予以保密，不得泄露给其他供应商。</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3.4谈判小组独立评判，推荐成交候选人。</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3.5谈判小组可根据需要对供应商进行实地考察。</w:t>
      </w:r>
    </w:p>
    <w:p>
      <w:pPr>
        <w:pStyle w:val="4"/>
        <w:keepNext w:val="0"/>
        <w:keepLines w:val="0"/>
        <w:spacing w:before="0" w:after="0" w:line="400" w:lineRule="exact"/>
        <w:ind w:firstLine="472" w:firstLineChars="196"/>
        <w:rPr>
          <w:rFonts w:ascii="宋体" w:hAnsi="宋体" w:eastAsia="宋体"/>
          <w:color w:val="000000"/>
          <w:sz w:val="24"/>
          <w:szCs w:val="24"/>
        </w:rPr>
      </w:pPr>
      <w:r>
        <w:rPr>
          <w:rFonts w:hint="eastAsia" w:ascii="宋体" w:hAnsi="宋体" w:eastAsia="宋体"/>
          <w:color w:val="000000"/>
          <w:sz w:val="24"/>
          <w:szCs w:val="24"/>
        </w:rPr>
        <w:t>4.确定成交供应商</w:t>
      </w:r>
    </w:p>
    <w:p>
      <w:pPr>
        <w:adjustRightInd w:val="0"/>
        <w:snapToGrid w:val="0"/>
        <w:spacing w:line="400" w:lineRule="exact"/>
        <w:ind w:firstLine="480" w:firstLineChars="200"/>
        <w:rPr>
          <w:rFonts w:hAnsi="宋体"/>
          <w:color w:val="000000"/>
          <w:sz w:val="24"/>
        </w:rPr>
      </w:pPr>
      <w:bookmarkStart w:id="54" w:name="_Toc101174147"/>
      <w:bookmarkStart w:id="55" w:name="_Toc101338360"/>
      <w:bookmarkStart w:id="56" w:name="_Toc209847066"/>
      <w:bookmarkStart w:id="57" w:name="_Toc101250642"/>
      <w:bookmarkStart w:id="58" w:name="_Toc430773925"/>
      <w:r>
        <w:rPr>
          <w:rFonts w:hint="eastAsia" w:ascii="宋体" w:hAnsi="宋体"/>
          <w:color w:val="000000"/>
          <w:sz w:val="24"/>
        </w:rPr>
        <w:t>4.</w:t>
      </w:r>
      <w:r>
        <w:rPr>
          <w:rFonts w:hint="eastAsia" w:ascii="宋体" w:hAnsi="宋体"/>
          <w:color w:val="000000"/>
          <w:sz w:val="24"/>
          <w:lang w:val="en-US" w:eastAsia="zh-CN"/>
        </w:rPr>
        <w:t>1</w:t>
      </w:r>
      <w:r>
        <w:rPr>
          <w:rFonts w:hint="eastAsia" w:ascii="宋体" w:hAnsi="宋体"/>
          <w:color w:val="000000"/>
          <w:sz w:val="24"/>
        </w:rPr>
        <w:t xml:space="preserve"> 采购人应当在评审</w:t>
      </w:r>
      <w:r>
        <w:rPr>
          <w:rFonts w:hint="eastAsia" w:ascii="宋体" w:hAnsi="宋体"/>
          <w:color w:val="000000"/>
          <w:sz w:val="24"/>
          <w:lang w:val="en-US" w:eastAsia="zh-CN"/>
        </w:rPr>
        <w:t>结束</w:t>
      </w:r>
      <w:r>
        <w:rPr>
          <w:rFonts w:hint="eastAsia" w:hAnsi="宋体"/>
          <w:color w:val="000000"/>
          <w:sz w:val="24"/>
        </w:rPr>
        <w:t>后</w:t>
      </w:r>
      <w:r>
        <w:rPr>
          <w:rFonts w:hint="eastAsia" w:hAnsi="宋体"/>
          <w:color w:val="000000"/>
          <w:sz w:val="24"/>
          <w:lang w:val="en-US" w:eastAsia="zh-CN"/>
        </w:rPr>
        <w:t>5</w:t>
      </w:r>
      <w:r>
        <w:rPr>
          <w:rFonts w:hint="eastAsia" w:hAnsi="宋体"/>
          <w:color w:val="000000"/>
          <w:sz w:val="24"/>
        </w:rPr>
        <w:t>个工作日内，从评审报告提出的成交候选人中，根据质量和服务均能满足</w:t>
      </w:r>
      <w:r>
        <w:rPr>
          <w:rFonts w:hint="eastAsia" w:ascii="宋体" w:hAnsi="宋体"/>
          <w:bCs/>
          <w:color w:val="000000"/>
          <w:sz w:val="24"/>
        </w:rPr>
        <w:t>谈判</w:t>
      </w:r>
      <w:r>
        <w:rPr>
          <w:rFonts w:hint="eastAsia" w:hAnsi="宋体"/>
          <w:color w:val="000000"/>
          <w:sz w:val="24"/>
        </w:rPr>
        <w:t>文件实质性响应要求且最后报价最低的原则确定成交供应商。</w:t>
      </w:r>
    </w:p>
    <w:bookmarkEnd w:id="54"/>
    <w:bookmarkEnd w:id="55"/>
    <w:bookmarkEnd w:id="56"/>
    <w:bookmarkEnd w:id="57"/>
    <w:bookmarkEnd w:id="58"/>
    <w:p>
      <w:pPr>
        <w:pStyle w:val="4"/>
        <w:keepNext w:val="0"/>
        <w:keepLines w:val="0"/>
        <w:spacing w:before="0" w:after="0" w:line="400" w:lineRule="exact"/>
        <w:ind w:firstLine="472" w:firstLineChars="196"/>
        <w:rPr>
          <w:rFonts w:ascii="宋体" w:hAnsi="宋体" w:eastAsia="宋体"/>
          <w:color w:val="000000"/>
          <w:sz w:val="24"/>
          <w:szCs w:val="24"/>
        </w:rPr>
      </w:pPr>
      <w:r>
        <w:rPr>
          <w:rFonts w:hint="eastAsia" w:ascii="宋体" w:hAnsi="宋体" w:eastAsia="宋体"/>
          <w:color w:val="000000"/>
          <w:sz w:val="24"/>
          <w:szCs w:val="24"/>
        </w:rPr>
        <w:t>5.成交通知书</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5.1 成交通知书为签订政府采购合同的依据之一，是合同的有效组成部分。</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5.2 采购人按符合采购需求的合格供应商确定成交供应商，确定成交供应商后2个工作日内，采购</w:t>
      </w:r>
      <w:r>
        <w:rPr>
          <w:rFonts w:hint="eastAsia" w:ascii="宋体" w:hAnsi="宋体"/>
          <w:color w:val="000000"/>
          <w:sz w:val="24"/>
          <w:lang w:val="en-US" w:eastAsia="zh-CN"/>
        </w:rPr>
        <w:t>人</w:t>
      </w:r>
      <w:r>
        <w:rPr>
          <w:rFonts w:hint="eastAsia" w:ascii="宋体" w:hAnsi="宋体"/>
          <w:color w:val="000000"/>
          <w:sz w:val="24"/>
        </w:rPr>
        <w:t>公示成交结果，按照相关法律法规向成交供应商发出成交通知书。</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hAnsi="宋体"/>
          <w:color w:val="000000"/>
          <w:sz w:val="32"/>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4 采</w:t>
      </w:r>
      <w:r>
        <w:rPr>
          <w:rFonts w:hint="eastAsia" w:hAnsi="宋体"/>
          <w:color w:val="000000"/>
          <w:sz w:val="24"/>
        </w:rPr>
        <w:t>购人和采购代理机构不对成交或未成交原因作出解释，也不退还响应文件。</w:t>
      </w:r>
    </w:p>
    <w:p>
      <w:pPr>
        <w:tabs>
          <w:tab w:val="left" w:pos="7665"/>
        </w:tabs>
        <w:spacing w:line="400" w:lineRule="exact"/>
        <w:ind w:firstLine="482" w:firstLineChars="200"/>
        <w:rPr>
          <w:rFonts w:ascii="宋体" w:hAnsi="宋体"/>
          <w:b/>
          <w:color w:val="000000"/>
          <w:sz w:val="24"/>
        </w:rPr>
      </w:pPr>
      <w:r>
        <w:rPr>
          <w:rFonts w:hint="eastAsia" w:ascii="宋体" w:hAnsi="宋体"/>
          <w:b/>
          <w:color w:val="000000"/>
          <w:sz w:val="24"/>
        </w:rPr>
        <w:t>6.谈判小组在政府采购活动中承担以下义务：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（一）遵守评审工作纪律；</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（三）不得泄露评审文件、评审情况和在评审过程中获悉的商业秘密；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（四）及时向</w:t>
      </w:r>
      <w:r>
        <w:rPr>
          <w:rFonts w:hint="eastAsia" w:ascii="宋体" w:hAnsi="宋体"/>
          <w:color w:val="000000"/>
          <w:sz w:val="24"/>
          <w:lang w:val="en-US" w:eastAsia="zh-CN"/>
        </w:rPr>
        <w:t>有关部门</w:t>
      </w:r>
      <w:r>
        <w:rPr>
          <w:rFonts w:hint="eastAsia" w:ascii="宋体" w:hAnsi="宋体"/>
          <w:color w:val="000000"/>
          <w:sz w:val="24"/>
        </w:rPr>
        <w:t>报告评审过程中发现的采购人向评审专家做倾向性、误导性的解释或者说明，以及供应商行贿、提供虚假材料或者串通等违法行为；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（六）及时向财政、监察等部门举报在评审过程中受到非法干预</w:t>
      </w:r>
      <w:r>
        <w:rPr>
          <w:rFonts w:hint="eastAsia" w:ascii="宋体" w:hAnsi="宋体"/>
          <w:sz w:val="24"/>
        </w:rPr>
        <w:t>的</w:t>
      </w:r>
      <w:r>
        <w:rPr>
          <w:rFonts w:hint="eastAsia" w:ascii="宋体" w:hAnsi="宋体"/>
          <w:color w:val="000000"/>
          <w:sz w:val="24"/>
        </w:rPr>
        <w:t>情况；</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（七）配合答复处理供应商的询问、质疑和投诉等事项；</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（八）法律、法规和规章规定的其他义务。</w:t>
      </w:r>
    </w:p>
    <w:p>
      <w:pPr>
        <w:tabs>
          <w:tab w:val="left" w:pos="7665"/>
        </w:tabs>
        <w:spacing w:line="400" w:lineRule="exact"/>
        <w:ind w:firstLine="482" w:firstLineChars="200"/>
        <w:rPr>
          <w:rFonts w:ascii="宋体" w:hAnsi="宋体"/>
          <w:b/>
          <w:color w:val="000000"/>
          <w:sz w:val="24"/>
        </w:rPr>
      </w:pPr>
      <w:r>
        <w:rPr>
          <w:rFonts w:hint="eastAsia" w:ascii="宋体" w:hAnsi="宋体"/>
          <w:b/>
          <w:color w:val="000000"/>
          <w:sz w:val="24"/>
        </w:rPr>
        <w:t>7.评审专家在政府采购活动中应当遵守以下工作纪律：</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（二）评审前，应当将通讯工具或者相关电子设备交由采购代理机构统一保管；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（六）评审现场服从采购代理机构工作人员的管理，接受现场监督人员的合法监督；</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pStyle w:val="3"/>
        <w:spacing w:line="400" w:lineRule="exact"/>
        <w:jc w:val="center"/>
        <w:rPr>
          <w:rFonts w:ascii="宋体" w:hAnsi="宋体"/>
          <w:color w:val="000000"/>
          <w:sz w:val="24"/>
        </w:rPr>
      </w:pPr>
    </w:p>
    <w:p>
      <w:pPr>
        <w:pStyle w:val="3"/>
        <w:numPr>
          <w:ilvl w:val="0"/>
          <w:numId w:val="8"/>
        </w:numPr>
        <w:spacing w:line="400" w:lineRule="exact"/>
        <w:jc w:val="center"/>
        <w:rPr>
          <w:rFonts w:hint="eastAsia" w:ascii="宋体" w:hAnsi="宋体" w:cs="宋体"/>
          <w:sz w:val="36"/>
          <w:szCs w:val="36"/>
        </w:rPr>
      </w:pPr>
      <w:r>
        <w:rPr>
          <w:rFonts w:hint="eastAsia" w:ascii="宋体" w:hAnsi="宋体"/>
          <w:sz w:val="36"/>
          <w:szCs w:val="36"/>
        </w:rPr>
        <w:br w:type="page"/>
      </w:r>
      <w:r>
        <w:rPr>
          <w:rFonts w:hint="eastAsia" w:ascii="宋体" w:hAnsi="宋体" w:cs="宋体"/>
          <w:sz w:val="36"/>
          <w:szCs w:val="36"/>
        </w:rPr>
        <w:t xml:space="preserve"> </w:t>
      </w:r>
      <w:bookmarkStart w:id="59" w:name="_Toc29664"/>
      <w:r>
        <w:rPr>
          <w:rFonts w:hint="eastAsia" w:ascii="宋体" w:hAnsi="宋体" w:cs="宋体"/>
          <w:sz w:val="36"/>
          <w:szCs w:val="36"/>
        </w:rPr>
        <w:t>采购合同</w:t>
      </w:r>
      <w:bookmarkEnd w:id="52"/>
      <w:r>
        <w:rPr>
          <w:rFonts w:hint="eastAsia" w:ascii="宋体" w:hAnsi="宋体" w:cs="宋体"/>
          <w:sz w:val="36"/>
          <w:szCs w:val="36"/>
        </w:rPr>
        <w:t>（草案）</w:t>
      </w:r>
      <w:bookmarkEnd w:id="59"/>
    </w:p>
    <w:p>
      <w:pPr>
        <w:jc w:val="center"/>
      </w:pPr>
      <w:r>
        <w:rPr>
          <w:rFonts w:hint="eastAsia" w:ascii="仿宋" w:hAnsi="仿宋" w:eastAsia="仿宋" w:cs="仿宋"/>
          <w:b/>
          <w:bCs/>
          <w:sz w:val="24"/>
        </w:rPr>
        <w:t>（供应商可与采购人关于具体部分协商调整）</w:t>
      </w:r>
    </w:p>
    <w:p>
      <w:pPr>
        <w:numPr>
          <w:ilvl w:val="0"/>
          <w:numId w:val="0"/>
        </w:numPr>
      </w:pPr>
    </w:p>
    <w:p>
      <w:pPr>
        <w:pStyle w:val="22"/>
        <w:tabs>
          <w:tab w:val="left" w:pos="0"/>
        </w:tabs>
        <w:snapToGrid w:val="0"/>
        <w:spacing w:line="400" w:lineRule="exact"/>
        <w:ind w:firstLine="480" w:firstLineChars="200"/>
        <w:rPr>
          <w:rFonts w:hAnsi="宋体" w:cs="宋体"/>
          <w:sz w:val="24"/>
        </w:rPr>
      </w:pPr>
      <w:r>
        <w:rPr>
          <w:rFonts w:hint="eastAsia" w:hAnsi="宋体" w:cs="宋体"/>
          <w:sz w:val="24"/>
        </w:rPr>
        <w:t>合同编号：</w:t>
      </w:r>
      <w:r>
        <w:rPr>
          <w:rFonts w:hint="eastAsia" w:hAnsi="宋体" w:cs="宋体"/>
          <w:sz w:val="24"/>
          <w:u w:val="single"/>
        </w:rPr>
        <w:t xml:space="preserve">          </w:t>
      </w:r>
    </w:p>
    <w:p>
      <w:pPr>
        <w:pStyle w:val="22"/>
        <w:tabs>
          <w:tab w:val="left" w:pos="0"/>
        </w:tabs>
        <w:snapToGrid w:val="0"/>
        <w:spacing w:line="400" w:lineRule="exact"/>
        <w:ind w:firstLine="480" w:firstLineChars="200"/>
        <w:rPr>
          <w:rFonts w:hAnsi="宋体" w:cs="宋体"/>
          <w:sz w:val="24"/>
        </w:rPr>
      </w:pPr>
      <w:r>
        <w:rPr>
          <w:rFonts w:hint="eastAsia" w:hAnsi="宋体" w:cs="宋体"/>
          <w:sz w:val="24"/>
        </w:rPr>
        <w:t>甲方：</w:t>
      </w:r>
      <w:r>
        <w:rPr>
          <w:rFonts w:hint="eastAsia" w:hAnsi="宋体" w:cs="宋体"/>
          <w:sz w:val="24"/>
          <w:u w:val="single"/>
        </w:rPr>
        <w:t xml:space="preserve">            </w:t>
      </w:r>
      <w:r>
        <w:rPr>
          <w:rFonts w:hint="eastAsia" w:hAnsi="宋体" w:cs="宋体"/>
          <w:sz w:val="24"/>
        </w:rPr>
        <w:t xml:space="preserve"> </w:t>
      </w:r>
    </w:p>
    <w:p>
      <w:pPr>
        <w:pStyle w:val="22"/>
        <w:tabs>
          <w:tab w:val="left" w:pos="0"/>
        </w:tabs>
        <w:snapToGrid w:val="0"/>
        <w:spacing w:line="400" w:lineRule="exact"/>
        <w:ind w:firstLine="480" w:firstLineChars="200"/>
        <w:rPr>
          <w:rFonts w:hAnsi="宋体" w:cs="宋体"/>
          <w:sz w:val="24"/>
        </w:rPr>
      </w:pPr>
      <w:r>
        <w:rPr>
          <w:rFonts w:hint="eastAsia" w:hAnsi="宋体" w:cs="宋体"/>
          <w:sz w:val="24"/>
        </w:rPr>
        <w:t>乙方：</w:t>
      </w:r>
      <w:r>
        <w:rPr>
          <w:rFonts w:hint="eastAsia" w:hAnsi="宋体" w:cs="宋体"/>
          <w:sz w:val="24"/>
          <w:u w:val="single"/>
        </w:rPr>
        <w:t xml:space="preserve">            </w:t>
      </w:r>
    </w:p>
    <w:p>
      <w:pPr>
        <w:spacing w:line="360" w:lineRule="auto"/>
        <w:ind w:firstLine="480" w:firstLineChars="200"/>
        <w:rPr>
          <w:rFonts w:ascii="宋体" w:hAnsi="宋体"/>
          <w:sz w:val="24"/>
        </w:rPr>
      </w:pPr>
      <w:r>
        <w:rPr>
          <w:rFonts w:ascii="宋体" w:hAnsi="宋体"/>
          <w:sz w:val="24"/>
        </w:rPr>
        <w:t>签订地点：</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ind w:firstLine="480" w:firstLineChars="200"/>
        <w:rPr>
          <w:rFonts w:ascii="宋体" w:hAnsi="宋体"/>
          <w:sz w:val="24"/>
        </w:rPr>
      </w:pPr>
      <w:r>
        <w:rPr>
          <w:rFonts w:ascii="宋体" w:hAnsi="宋体"/>
          <w:sz w:val="24"/>
        </w:rPr>
        <w:t>签订时间：</w:t>
      </w:r>
      <w:r>
        <w:rPr>
          <w:rFonts w:hint="eastAsia" w:ascii="宋体" w:hAnsi="宋体"/>
          <w:sz w:val="24"/>
          <w:u w:val="single"/>
        </w:rPr>
        <w:t xml:space="preserve">   </w:t>
      </w:r>
      <w:r>
        <w:rPr>
          <w:rFonts w:ascii="宋体" w:hAnsi="宋体"/>
          <w:sz w:val="24"/>
        </w:rPr>
        <w:t>年</w:t>
      </w:r>
      <w:r>
        <w:rPr>
          <w:rFonts w:hint="eastAsia" w:ascii="宋体" w:hAnsi="宋体"/>
          <w:color w:val="000000"/>
          <w:szCs w:val="21"/>
          <w:u w:val="single"/>
        </w:rPr>
        <w:t xml:space="preserve">     </w:t>
      </w:r>
      <w:r>
        <w:rPr>
          <w:rFonts w:ascii="宋体" w:hAnsi="宋体"/>
          <w:sz w:val="24"/>
        </w:rPr>
        <w:t>月</w:t>
      </w:r>
      <w:r>
        <w:rPr>
          <w:rFonts w:hint="eastAsia" w:ascii="宋体" w:hAnsi="宋体"/>
          <w:color w:val="000000"/>
          <w:szCs w:val="21"/>
          <w:u w:val="single"/>
        </w:rPr>
        <w:t xml:space="preserve">     </w:t>
      </w:r>
      <w:r>
        <w:rPr>
          <w:rFonts w:ascii="宋体" w:hAnsi="宋体"/>
          <w:sz w:val="24"/>
        </w:rPr>
        <w:t>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采购人（</w:t>
      </w:r>
      <w:r>
        <w:rPr>
          <w:rFonts w:ascii="宋体" w:hAnsi="宋体"/>
          <w:sz w:val="24"/>
        </w:rPr>
        <w:t>甲方</w:t>
      </w:r>
      <w:r>
        <w:rPr>
          <w:rFonts w:hint="eastAsia" w:ascii="宋体" w:hAnsi="宋体"/>
          <w:sz w:val="24"/>
        </w:rPr>
        <w:t>）</w:t>
      </w:r>
      <w:r>
        <w:rPr>
          <w:rFonts w:ascii="宋体" w:hAnsi="宋体"/>
          <w:sz w:val="24"/>
        </w:rPr>
        <w:t>：</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w:t>
      </w:r>
      <w:r>
        <w:rPr>
          <w:rFonts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依据《</w:t>
      </w:r>
      <w:r>
        <w:rPr>
          <w:rFonts w:hint="eastAsia" w:ascii="宋体" w:hAnsi="宋体"/>
          <w:sz w:val="24"/>
        </w:rPr>
        <w:t>中华人民共和国民法典</w:t>
      </w:r>
      <w:r>
        <w:rPr>
          <w:rFonts w:ascii="宋体" w:hAnsi="宋体"/>
          <w:sz w:val="24"/>
        </w:rPr>
        <w:t>》、《中华人民共和国政府采购法》</w:t>
      </w:r>
      <w:r>
        <w:rPr>
          <w:rFonts w:hint="eastAsia" w:ascii="宋体" w:hAnsi="宋体"/>
          <w:sz w:val="24"/>
        </w:rPr>
        <w:t>与项目行业有关的法律法规，以及</w:t>
      </w:r>
      <w:r>
        <w:rPr>
          <w:rFonts w:hint="eastAsia" w:ascii="宋体" w:hAnsi="宋体"/>
          <w:color w:val="000000"/>
          <w:szCs w:val="21"/>
          <w:u w:val="single"/>
        </w:rPr>
        <w:t xml:space="preserve">      </w:t>
      </w:r>
      <w:r>
        <w:rPr>
          <w:rFonts w:hint="eastAsia" w:ascii="宋体" w:hAnsi="宋体"/>
          <w:sz w:val="24"/>
        </w:rPr>
        <w:t>项目（采购编号：</w:t>
      </w:r>
      <w:r>
        <w:rPr>
          <w:rFonts w:hint="eastAsia" w:ascii="宋体" w:hAnsi="宋体"/>
          <w:color w:val="000000"/>
          <w:szCs w:val="21"/>
          <w:u w:val="single"/>
        </w:rPr>
        <w:t xml:space="preserve">       </w:t>
      </w:r>
      <w:r>
        <w:rPr>
          <w:rFonts w:hint="eastAsia" w:ascii="宋体" w:hAnsi="宋体"/>
          <w:sz w:val="24"/>
        </w:rPr>
        <w:t>）</w:t>
      </w:r>
      <w:r>
        <w:rPr>
          <w:rFonts w:ascii="宋体" w:hAnsi="宋体"/>
          <w:sz w:val="24"/>
        </w:rPr>
        <w:t>的</w:t>
      </w:r>
      <w:r>
        <w:rPr>
          <w:rFonts w:hint="eastAsia" w:ascii="宋体" w:hAnsi="宋体"/>
          <w:sz w:val="24"/>
        </w:rPr>
        <w:t>《竞争性谈判文件》</w:t>
      </w:r>
      <w:r>
        <w:rPr>
          <w:rFonts w:ascii="宋体" w:hAnsi="宋体"/>
          <w:sz w:val="24"/>
        </w:rPr>
        <w:t>，</w:t>
      </w:r>
      <w:r>
        <w:rPr>
          <w:rFonts w:hint="eastAsia" w:ascii="宋体" w:hAnsi="宋体"/>
          <w:sz w:val="24"/>
        </w:rPr>
        <w:t>乙方的《响应文件》及《成交通知书》，甲、乙双方同意签订本合同。详细技术说明及其他有关合同项目的特定信息由合同附件予以说明，合同附件及本项目的《竞争性谈判文件》、《响应文件》、《成交通知书》等均为本合同的组成部分。</w:t>
      </w:r>
      <w:r>
        <w:rPr>
          <w:rFonts w:ascii="宋体" w:hAnsi="宋体"/>
          <w:sz w:val="24"/>
        </w:rPr>
        <w:t xml:space="preserve"> </w:t>
      </w:r>
    </w:p>
    <w:p>
      <w:pPr>
        <w:spacing w:line="360" w:lineRule="auto"/>
        <w:rPr>
          <w:rFonts w:ascii="宋体" w:hAnsi="宋体"/>
          <w:b/>
          <w:sz w:val="24"/>
        </w:rPr>
      </w:pPr>
      <w:r>
        <w:rPr>
          <w:rFonts w:hint="eastAsia" w:ascii="宋体" w:hAnsi="宋体"/>
          <w:b/>
          <w:sz w:val="24"/>
        </w:rPr>
        <w:t>1.项目基本情况</w:t>
      </w:r>
    </w:p>
    <w:p>
      <w:pPr>
        <w:spacing w:line="360" w:lineRule="auto"/>
        <w:rPr>
          <w:rFonts w:ascii="宋体" w:hAnsi="宋体"/>
          <w:b/>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2.合同期限</w:t>
      </w:r>
    </w:p>
    <w:p>
      <w:pPr>
        <w:spacing w:line="360" w:lineRule="auto"/>
        <w:ind w:firstLine="480" w:firstLineChars="200"/>
        <w:rPr>
          <w:rFonts w:ascii="宋体" w:hAnsi="宋体"/>
          <w:sz w:val="24"/>
        </w:rPr>
      </w:pPr>
    </w:p>
    <w:p>
      <w:pPr>
        <w:spacing w:line="360" w:lineRule="auto"/>
        <w:rPr>
          <w:rFonts w:ascii="宋体" w:hAnsi="宋体"/>
          <w:b/>
          <w:sz w:val="24"/>
        </w:rPr>
      </w:pPr>
      <w:bookmarkStart w:id="60" w:name="_Toc251768862"/>
      <w:bookmarkStart w:id="61" w:name="_Toc241833903"/>
      <w:bookmarkStart w:id="62" w:name="_Toc282696226"/>
      <w:bookmarkStart w:id="63" w:name="_Toc237145406"/>
      <w:bookmarkStart w:id="64" w:name="_Toc286993786"/>
      <w:bookmarkStart w:id="65" w:name="_Toc239568418"/>
      <w:bookmarkStart w:id="66" w:name="_Toc225244852"/>
      <w:bookmarkStart w:id="67" w:name="_Toc232492928"/>
      <w:bookmarkStart w:id="68" w:name="_Toc238984975"/>
      <w:bookmarkStart w:id="69" w:name="_Toc283019214"/>
      <w:bookmarkStart w:id="70" w:name="_Toc185395249"/>
      <w:bookmarkStart w:id="71" w:name="_Toc212019594"/>
      <w:bookmarkStart w:id="72" w:name="_Toc239233914"/>
      <w:bookmarkStart w:id="73" w:name="_Toc247334841"/>
      <w:bookmarkStart w:id="74" w:name="_Toc211911348"/>
      <w:bookmarkStart w:id="75" w:name="_Toc225670751"/>
      <w:bookmarkStart w:id="76" w:name="_Toc225654644"/>
      <w:bookmarkStart w:id="77" w:name="_Toc211854449"/>
      <w:r>
        <w:rPr>
          <w:rFonts w:hint="eastAsia" w:ascii="宋体" w:hAnsi="宋体"/>
          <w:b/>
          <w:sz w:val="24"/>
        </w:rPr>
        <w:t>3.服务内容与质量标准</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4.服务费用及支付方式</w:t>
      </w:r>
    </w:p>
    <w:p>
      <w:pPr>
        <w:numPr>
          <w:ilvl w:val="0"/>
          <w:numId w:val="9"/>
        </w:numPr>
        <w:spacing w:line="360" w:lineRule="auto"/>
        <w:ind w:left="0" w:firstLine="567"/>
        <w:rPr>
          <w:rFonts w:ascii="宋体" w:hAnsi="宋体"/>
          <w:b/>
          <w:sz w:val="24"/>
        </w:rPr>
      </w:pPr>
      <w:r>
        <w:rPr>
          <w:rFonts w:hint="eastAsia" w:ascii="宋体" w:hAnsi="宋体"/>
          <w:b/>
          <w:sz w:val="24"/>
        </w:rPr>
        <w:t>本项目服务费用由以下组成：</w:t>
      </w:r>
    </w:p>
    <w:p>
      <w:pPr>
        <w:numPr>
          <w:ilvl w:val="0"/>
          <w:numId w:val="10"/>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万元；</w:t>
      </w:r>
    </w:p>
    <w:p>
      <w:pPr>
        <w:numPr>
          <w:ilvl w:val="0"/>
          <w:numId w:val="10"/>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万元；</w:t>
      </w:r>
    </w:p>
    <w:p>
      <w:pPr>
        <w:numPr>
          <w:ilvl w:val="0"/>
          <w:numId w:val="10"/>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万元。</w:t>
      </w:r>
    </w:p>
    <w:p>
      <w:pPr>
        <w:spacing w:line="360" w:lineRule="auto"/>
        <w:ind w:firstLine="480" w:firstLineChars="200"/>
        <w:rPr>
          <w:rFonts w:ascii="宋体" w:hAnsi="宋体"/>
          <w:sz w:val="24"/>
        </w:rPr>
      </w:pPr>
      <w:r>
        <w:rPr>
          <w:rFonts w:ascii="宋体" w:hAnsi="宋体"/>
          <w:sz w:val="24"/>
        </w:rPr>
        <w:t>……</w:t>
      </w:r>
    </w:p>
    <w:p>
      <w:pPr>
        <w:numPr>
          <w:ilvl w:val="0"/>
          <w:numId w:val="9"/>
        </w:numPr>
        <w:tabs>
          <w:tab w:val="left" w:pos="780"/>
        </w:tabs>
        <w:spacing w:line="360" w:lineRule="auto"/>
        <w:ind w:left="0" w:firstLine="567"/>
        <w:rPr>
          <w:rFonts w:ascii="宋体" w:hAnsi="宋体"/>
          <w:b/>
          <w:sz w:val="24"/>
        </w:rPr>
      </w:pPr>
      <w:r>
        <w:rPr>
          <w:rFonts w:hint="eastAsia" w:ascii="宋体" w:hAnsi="宋体"/>
          <w:b/>
          <w:sz w:val="24"/>
        </w:rPr>
        <w:t xml:space="preserve">服务费支付方式： </w:t>
      </w:r>
    </w:p>
    <w:p>
      <w:pPr>
        <w:tabs>
          <w:tab w:val="left" w:pos="780"/>
        </w:tabs>
        <w:spacing w:line="360" w:lineRule="auto"/>
        <w:ind w:left="567"/>
        <w:rPr>
          <w:rFonts w:ascii="宋体" w:hAnsi="宋体"/>
          <w:b/>
          <w:sz w:val="24"/>
        </w:rPr>
      </w:pPr>
    </w:p>
    <w:p>
      <w:pPr>
        <w:spacing w:line="360" w:lineRule="auto"/>
        <w:rPr>
          <w:rFonts w:ascii="宋体" w:hAnsi="宋体"/>
          <w:b/>
          <w:sz w:val="24"/>
        </w:rPr>
      </w:pPr>
      <w:r>
        <w:rPr>
          <w:rFonts w:hint="eastAsia" w:ascii="宋体" w:hAnsi="宋体"/>
          <w:b/>
          <w:sz w:val="24"/>
        </w:rPr>
        <w:t>5.知识产权</w:t>
      </w:r>
    </w:p>
    <w:p>
      <w:pPr>
        <w:tabs>
          <w:tab w:val="left" w:pos="1440"/>
        </w:tabs>
        <w:spacing w:line="360" w:lineRule="auto"/>
        <w:ind w:firstLine="480" w:firstLineChars="200"/>
        <w:rPr>
          <w:rFonts w:ascii="宋体" w:hAnsi="宋体"/>
          <w:sz w:val="24"/>
        </w:rPr>
      </w:pPr>
      <w:r>
        <w:rPr>
          <w:rFonts w:hint="eastAsia" w:ascii="宋体" w:hAnsi="宋体"/>
          <w:sz w:val="24"/>
        </w:rPr>
        <w:t>乙方应保证所提供的服务或其任何一部分均不会侵犯任何第三方的专利权、商标权或著作权。</w:t>
      </w:r>
    </w:p>
    <w:p>
      <w:pPr>
        <w:spacing w:line="360" w:lineRule="auto"/>
        <w:rPr>
          <w:rFonts w:ascii="宋体" w:hAnsi="宋体"/>
          <w:b/>
          <w:sz w:val="24"/>
        </w:rPr>
      </w:pPr>
      <w:r>
        <w:rPr>
          <w:rFonts w:hint="eastAsia" w:ascii="宋体" w:hAnsi="宋体"/>
          <w:b/>
          <w:sz w:val="24"/>
        </w:rPr>
        <w:t>6.无产权瑕疵条款</w:t>
      </w:r>
    </w:p>
    <w:p>
      <w:pPr>
        <w:tabs>
          <w:tab w:val="left" w:pos="1440"/>
        </w:tabs>
        <w:spacing w:line="360" w:lineRule="auto"/>
        <w:ind w:firstLine="480" w:firstLineChars="200"/>
        <w:rPr>
          <w:rFonts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spacing w:line="360" w:lineRule="auto"/>
        <w:rPr>
          <w:rFonts w:ascii="宋体" w:hAnsi="宋体"/>
          <w:b/>
          <w:sz w:val="24"/>
        </w:rPr>
      </w:pPr>
      <w:r>
        <w:rPr>
          <w:rFonts w:hint="eastAsia" w:ascii="宋体" w:hAnsi="宋体"/>
          <w:b/>
          <w:sz w:val="24"/>
        </w:rPr>
        <w:t>7.履约保证金</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1、乙方交纳人民币</w:t>
      </w:r>
      <w:r>
        <w:rPr>
          <w:rFonts w:hint="eastAsia" w:ascii="宋体" w:hAnsi="宋体"/>
          <w:bCs/>
          <w:sz w:val="24"/>
          <w:u w:val="single"/>
        </w:rPr>
        <w:t xml:space="preserve">      </w:t>
      </w:r>
      <w:r>
        <w:rPr>
          <w:rFonts w:hint="eastAsia" w:ascii="宋体" w:hAnsi="宋体"/>
          <w:bCs/>
          <w:sz w:val="24"/>
        </w:rPr>
        <w:t>元作为本合同的履约保证金。</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2、履约保证金作为违约金的一部分及用于补偿甲方因乙方不能履行合同义务而蒙受的损失。</w:t>
      </w:r>
    </w:p>
    <w:p>
      <w:pPr>
        <w:spacing w:line="360" w:lineRule="auto"/>
        <w:rPr>
          <w:rFonts w:ascii="宋体" w:hAnsi="宋体"/>
          <w:b/>
          <w:sz w:val="24"/>
        </w:rPr>
      </w:pPr>
      <w:r>
        <w:rPr>
          <w:rFonts w:hint="eastAsia" w:ascii="宋体" w:hAnsi="宋体"/>
          <w:b/>
          <w:sz w:val="24"/>
        </w:rPr>
        <w:t>8.</w:t>
      </w:r>
      <w:r>
        <w:rPr>
          <w:rFonts w:ascii="宋体" w:hAnsi="宋体"/>
          <w:b/>
          <w:sz w:val="24"/>
        </w:rPr>
        <w:t>甲方的权利和义务</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甲方有权对合同规定范围内</w:t>
      </w:r>
      <w:r>
        <w:rPr>
          <w:rFonts w:hint="eastAsia" w:ascii="宋体" w:hAnsi="宋体"/>
          <w:bCs/>
          <w:sz w:val="24"/>
        </w:rPr>
        <w:t>乙方的服务行为</w:t>
      </w:r>
      <w:r>
        <w:rPr>
          <w:rFonts w:ascii="宋体" w:hAnsi="宋体"/>
          <w:bCs/>
          <w:sz w:val="24"/>
        </w:rPr>
        <w:t>进行监督和检查，拥有监管权。有权定期核对乙方提供服务所配备的人员数量。对甲方认为不合理的部分有权</w:t>
      </w:r>
      <w:r>
        <w:rPr>
          <w:rFonts w:hint="eastAsia" w:ascii="宋体" w:hAnsi="宋体"/>
          <w:bCs/>
          <w:sz w:val="24"/>
        </w:rPr>
        <w:t>下达整改通知书，并</w:t>
      </w:r>
      <w:r>
        <w:rPr>
          <w:rFonts w:ascii="宋体" w:hAnsi="宋体"/>
          <w:bCs/>
          <w:sz w:val="24"/>
        </w:rPr>
        <w:t>要求乙方</w:t>
      </w:r>
      <w:r>
        <w:rPr>
          <w:rFonts w:hint="eastAsia" w:ascii="宋体" w:hAnsi="宋体"/>
          <w:bCs/>
          <w:sz w:val="24"/>
        </w:rPr>
        <w:t>限期整改</w:t>
      </w:r>
      <w:r>
        <w:rPr>
          <w:rFonts w:ascii="宋体" w:hAnsi="宋体"/>
          <w:bCs/>
          <w:sz w:val="24"/>
        </w:rPr>
        <w:t>。</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3、</w:t>
      </w:r>
      <w:r>
        <w:rPr>
          <w:rFonts w:ascii="宋体" w:hAnsi="宋体"/>
          <w:bCs/>
          <w:sz w:val="24"/>
        </w:rPr>
        <w:t>负责检查监督乙方管理工作的实施及制度的执行情况。</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4、</w:t>
      </w:r>
      <w:r>
        <w:rPr>
          <w:rFonts w:ascii="宋体" w:hAnsi="宋体"/>
          <w:bCs/>
          <w:sz w:val="24"/>
        </w:rPr>
        <w:t>根据本合同规定，按时向乙方支付应付</w:t>
      </w:r>
      <w:r>
        <w:rPr>
          <w:rFonts w:hint="eastAsia" w:ascii="宋体" w:hAnsi="宋体"/>
          <w:bCs/>
          <w:sz w:val="24"/>
        </w:rPr>
        <w:t>服务费用</w:t>
      </w:r>
      <w:r>
        <w:rPr>
          <w:rFonts w:ascii="宋体" w:hAnsi="宋体"/>
          <w:bCs/>
          <w:sz w:val="24"/>
        </w:rPr>
        <w:t>。</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5、</w:t>
      </w:r>
      <w:r>
        <w:rPr>
          <w:rFonts w:ascii="宋体" w:hAnsi="宋体"/>
          <w:bCs/>
          <w:sz w:val="24"/>
        </w:rPr>
        <w:t>国家法律、法规所规定由甲方承担的其它责任。</w:t>
      </w:r>
    </w:p>
    <w:p>
      <w:pPr>
        <w:spacing w:line="360" w:lineRule="auto"/>
        <w:rPr>
          <w:rFonts w:ascii="宋体" w:hAnsi="宋体"/>
          <w:b/>
          <w:sz w:val="24"/>
        </w:rPr>
      </w:pPr>
      <w:r>
        <w:rPr>
          <w:rFonts w:hint="eastAsia" w:ascii="宋体" w:hAnsi="宋体"/>
          <w:b/>
          <w:sz w:val="24"/>
        </w:rPr>
        <w:t>9.</w:t>
      </w:r>
      <w:r>
        <w:rPr>
          <w:rFonts w:ascii="宋体" w:hAnsi="宋体"/>
          <w:b/>
          <w:sz w:val="24"/>
        </w:rPr>
        <w:t>乙方的权利和义务</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对本合同规定的委托</w:t>
      </w:r>
      <w:r>
        <w:rPr>
          <w:rFonts w:hint="eastAsia" w:ascii="宋体" w:hAnsi="宋体"/>
          <w:bCs/>
          <w:sz w:val="24"/>
        </w:rPr>
        <w:t>服务</w:t>
      </w:r>
      <w:r>
        <w:rPr>
          <w:rFonts w:ascii="宋体" w:hAnsi="宋体"/>
          <w:bCs/>
          <w:sz w:val="24"/>
        </w:rPr>
        <w:t>范围内的</w:t>
      </w:r>
      <w:r>
        <w:rPr>
          <w:rFonts w:hint="eastAsia" w:ascii="宋体" w:hAnsi="宋体"/>
          <w:bCs/>
          <w:sz w:val="24"/>
        </w:rPr>
        <w:t>项目</w:t>
      </w:r>
      <w:r>
        <w:rPr>
          <w:rFonts w:ascii="宋体" w:hAnsi="宋体"/>
          <w:bCs/>
          <w:sz w:val="24"/>
        </w:rPr>
        <w:t>享有管理权及服务义务。</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w:t>
      </w:r>
      <w:r>
        <w:rPr>
          <w:rFonts w:ascii="宋体" w:hAnsi="宋体"/>
          <w:bCs/>
          <w:sz w:val="24"/>
        </w:rPr>
        <w:t>根据本合同的规定向甲方收取相关</w:t>
      </w:r>
      <w:r>
        <w:rPr>
          <w:rFonts w:hint="eastAsia" w:ascii="宋体" w:hAnsi="宋体"/>
          <w:bCs/>
          <w:sz w:val="24"/>
        </w:rPr>
        <w:t>服务</w:t>
      </w:r>
      <w:r>
        <w:rPr>
          <w:rFonts w:ascii="宋体" w:hAnsi="宋体"/>
          <w:bCs/>
          <w:sz w:val="24"/>
        </w:rPr>
        <w:t>费用，并有权</w:t>
      </w:r>
      <w:r>
        <w:rPr>
          <w:rFonts w:hint="eastAsia" w:ascii="宋体" w:hAnsi="宋体"/>
          <w:bCs/>
          <w:sz w:val="24"/>
        </w:rPr>
        <w:t>在本项目管理范围内</w:t>
      </w:r>
      <w:r>
        <w:rPr>
          <w:rFonts w:ascii="宋体" w:hAnsi="宋体"/>
          <w:bCs/>
          <w:sz w:val="24"/>
        </w:rPr>
        <w:t>管理及合理使用。</w:t>
      </w:r>
    </w:p>
    <w:p>
      <w:pPr>
        <w:adjustRightInd w:val="0"/>
        <w:spacing w:line="360" w:lineRule="auto"/>
        <w:ind w:firstLine="480" w:firstLineChars="200"/>
        <w:jc w:val="left"/>
        <w:textAlignment w:val="baseline"/>
        <w:rPr>
          <w:rFonts w:ascii="宋体" w:hAnsi="宋体"/>
          <w:sz w:val="24"/>
        </w:rPr>
      </w:pPr>
      <w:r>
        <w:rPr>
          <w:rFonts w:hint="eastAsia" w:ascii="宋体" w:hAnsi="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bCs/>
          <w:sz w:val="24"/>
        </w:rPr>
      </w:pPr>
      <w:r>
        <w:rPr>
          <w:rFonts w:hint="eastAsia" w:ascii="宋体" w:hAnsi="宋体"/>
          <w:sz w:val="24"/>
        </w:rPr>
        <w:t>4、</w:t>
      </w:r>
      <w:r>
        <w:rPr>
          <w:rFonts w:ascii="宋体" w:hAnsi="宋体"/>
          <w:bCs/>
          <w:sz w:val="24"/>
        </w:rPr>
        <w:t>接受</w:t>
      </w:r>
      <w:r>
        <w:rPr>
          <w:rFonts w:hint="eastAsia" w:ascii="宋体" w:hAnsi="宋体"/>
          <w:bCs/>
          <w:sz w:val="24"/>
        </w:rPr>
        <w:t>项目行</w:t>
      </w:r>
      <w:r>
        <w:rPr>
          <w:rFonts w:ascii="宋体" w:hAnsi="宋体"/>
          <w:bCs/>
          <w:sz w:val="24"/>
        </w:rPr>
        <w:t>业管理部门及政府有关部门的指导，接受甲方的监督。</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5、</w:t>
      </w:r>
      <w:r>
        <w:rPr>
          <w:rFonts w:ascii="宋体" w:hAnsi="宋体"/>
          <w:bCs/>
          <w:sz w:val="24"/>
        </w:rPr>
        <w:t>国家法律、法规所规定由乙方承担的其它责任。</w:t>
      </w:r>
    </w:p>
    <w:p>
      <w:pPr>
        <w:spacing w:line="360" w:lineRule="auto"/>
        <w:rPr>
          <w:rFonts w:ascii="宋体" w:hAnsi="宋体"/>
          <w:b/>
          <w:sz w:val="24"/>
        </w:rPr>
      </w:pPr>
      <w:r>
        <w:rPr>
          <w:rFonts w:hint="eastAsia" w:ascii="宋体" w:hAnsi="宋体"/>
          <w:b/>
          <w:sz w:val="24"/>
        </w:rPr>
        <w:t>10.</w:t>
      </w:r>
      <w:r>
        <w:rPr>
          <w:rFonts w:ascii="宋体" w:hAnsi="宋体"/>
          <w:b/>
          <w:sz w:val="24"/>
        </w:rPr>
        <w:t>违约责任</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甲乙双方必须遵守本合同并执行合同中的各项规定，保证</w:t>
      </w:r>
      <w:r>
        <w:rPr>
          <w:rFonts w:hint="eastAsia" w:ascii="宋体" w:hAnsi="宋体"/>
          <w:bCs/>
          <w:sz w:val="24"/>
        </w:rPr>
        <w:t>本</w:t>
      </w:r>
      <w:r>
        <w:rPr>
          <w:rFonts w:ascii="宋体" w:hAnsi="宋体"/>
          <w:bCs/>
          <w:sz w:val="24"/>
        </w:rPr>
        <w:t>合同的正常</w:t>
      </w:r>
      <w:r>
        <w:rPr>
          <w:rFonts w:hint="eastAsia" w:ascii="宋体" w:hAnsi="宋体"/>
          <w:bCs/>
          <w:sz w:val="24"/>
        </w:rPr>
        <w:t>履行</w:t>
      </w:r>
      <w:r>
        <w:rPr>
          <w:rFonts w:ascii="宋体" w:hAnsi="宋体"/>
          <w:bCs/>
          <w:sz w:val="24"/>
        </w:rPr>
        <w:t>。</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w:t>
      </w:r>
      <w:r>
        <w:rPr>
          <w:rFonts w:ascii="宋体" w:hAnsi="宋体"/>
          <w:bCs/>
          <w:sz w:val="24"/>
        </w:rPr>
        <w:t>如因乙方</w:t>
      </w:r>
      <w:r>
        <w:rPr>
          <w:rFonts w:hint="eastAsia" w:ascii="宋体" w:hAnsi="宋体"/>
          <w:bCs/>
          <w:sz w:val="24"/>
        </w:rPr>
        <w:t>工作人员在履行职务过程中的</w:t>
      </w:r>
      <w:r>
        <w:rPr>
          <w:rFonts w:ascii="宋体" w:hAnsi="宋体"/>
          <w:bCs/>
          <w:sz w:val="24"/>
        </w:rPr>
        <w:t>的疏忽、失职、过错等</w:t>
      </w:r>
      <w:r>
        <w:rPr>
          <w:rFonts w:hint="eastAsia" w:ascii="宋体" w:hAnsi="宋体"/>
          <w:bCs/>
          <w:sz w:val="24"/>
        </w:rPr>
        <w:t>故意或者过失</w:t>
      </w:r>
      <w:r>
        <w:rPr>
          <w:rFonts w:ascii="宋体" w:hAnsi="宋体"/>
          <w:bCs/>
          <w:sz w:val="24"/>
        </w:rPr>
        <w:t>原因给甲方造成损失或侵害，</w:t>
      </w:r>
      <w:r>
        <w:rPr>
          <w:rFonts w:hint="eastAsia" w:ascii="宋体" w:hAnsi="宋体"/>
          <w:bCs/>
          <w:sz w:val="24"/>
        </w:rPr>
        <w:t>包括但不限于甲方本身的财产损失、由此而导致的甲方对任何第三方的法律责任等，乙方对此均应承担全部的赔偿责任</w:t>
      </w:r>
      <w:r>
        <w:rPr>
          <w:rFonts w:ascii="宋体" w:hAnsi="宋体"/>
          <w:bCs/>
          <w:sz w:val="24"/>
        </w:rPr>
        <w:t>。</w:t>
      </w:r>
    </w:p>
    <w:p>
      <w:pPr>
        <w:spacing w:line="360" w:lineRule="auto"/>
        <w:rPr>
          <w:rFonts w:ascii="宋体" w:hAnsi="宋体"/>
          <w:b/>
          <w:sz w:val="24"/>
        </w:rPr>
      </w:pPr>
      <w:r>
        <w:rPr>
          <w:rFonts w:hint="eastAsia" w:ascii="宋体" w:hAnsi="宋体"/>
          <w:b/>
          <w:sz w:val="24"/>
        </w:rPr>
        <w:t>11.不可抗力事件处理</w:t>
      </w:r>
    </w:p>
    <w:p>
      <w:pPr>
        <w:tabs>
          <w:tab w:val="left" w:pos="0"/>
        </w:tabs>
        <w:spacing w:line="360" w:lineRule="auto"/>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tabs>
          <w:tab w:val="left" w:pos="0"/>
        </w:tabs>
        <w:spacing w:line="360" w:lineRule="auto"/>
        <w:ind w:firstLine="480" w:firstLineChars="200"/>
        <w:rPr>
          <w:rFonts w:ascii="宋体" w:hAnsi="宋体"/>
          <w:sz w:val="24"/>
        </w:rPr>
      </w:pPr>
      <w:r>
        <w:rPr>
          <w:rFonts w:hint="eastAsia" w:ascii="宋体" w:hAnsi="宋体"/>
          <w:sz w:val="24"/>
        </w:rPr>
        <w:t>3、不可抗力事件延续</w:t>
      </w:r>
      <w:r>
        <w:rPr>
          <w:rFonts w:hint="eastAsia" w:ascii="宋体" w:hAnsi="宋体"/>
          <w:sz w:val="24"/>
          <w:u w:val="single"/>
        </w:rPr>
        <w:t xml:space="preserve">      </w:t>
      </w:r>
      <w:r>
        <w:rPr>
          <w:rFonts w:hint="eastAsia" w:ascii="宋体" w:hAnsi="宋体"/>
          <w:sz w:val="24"/>
        </w:rPr>
        <w:t>天以上，双方应通过友好协商，确定是否继续履行合同。</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Pr>
        <w:spacing w:line="360" w:lineRule="auto"/>
        <w:rPr>
          <w:rFonts w:ascii="宋体" w:hAnsi="宋体"/>
          <w:b/>
          <w:sz w:val="24"/>
        </w:rPr>
      </w:pPr>
      <w:bookmarkStart w:id="78" w:name="_Toc225654649"/>
      <w:bookmarkStart w:id="79" w:name="_Toc239233919"/>
      <w:bookmarkStart w:id="80" w:name="_Toc211911353"/>
      <w:bookmarkStart w:id="81" w:name="_Toc185395254"/>
      <w:bookmarkStart w:id="82" w:name="_Toc239568423"/>
      <w:bookmarkStart w:id="83" w:name="_Toc238984980"/>
      <w:bookmarkStart w:id="84" w:name="_Toc286993792"/>
      <w:bookmarkStart w:id="85" w:name="_Toc225670756"/>
      <w:bookmarkStart w:id="86" w:name="_Toc232492933"/>
      <w:bookmarkStart w:id="87" w:name="_Toc225244857"/>
      <w:bookmarkStart w:id="88" w:name="_Toc247334846"/>
      <w:bookmarkStart w:id="89" w:name="_Toc251768867"/>
      <w:bookmarkStart w:id="90" w:name="_Toc241833908"/>
      <w:bookmarkStart w:id="91" w:name="_Toc212019599"/>
      <w:bookmarkStart w:id="92" w:name="_Toc237145411"/>
      <w:bookmarkStart w:id="93" w:name="_Toc211854454"/>
      <w:r>
        <w:rPr>
          <w:rFonts w:hint="eastAsia" w:ascii="宋体" w:hAnsi="宋体"/>
          <w:b/>
          <w:sz w:val="24"/>
        </w:rPr>
        <w:t>12.解</w:t>
      </w:r>
      <w:r>
        <w:rPr>
          <w:rFonts w:ascii="宋体" w:hAnsi="宋体"/>
          <w:b/>
          <w:sz w:val="24"/>
        </w:rPr>
        <w:t>决合同纠纷的方式</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tabs>
          <w:tab w:val="left" w:pos="0"/>
        </w:tabs>
        <w:spacing w:line="360" w:lineRule="auto"/>
        <w:ind w:firstLine="480" w:firstLineChars="200"/>
        <w:rPr>
          <w:rFonts w:ascii="宋体" w:hAnsi="宋体"/>
          <w:sz w:val="24"/>
        </w:rPr>
      </w:pPr>
      <w:r>
        <w:rPr>
          <w:rFonts w:hint="eastAsia" w:ascii="宋体" w:hAnsi="宋体"/>
          <w:sz w:val="24"/>
        </w:rPr>
        <w:t>1、</w:t>
      </w:r>
      <w:r>
        <w:rPr>
          <w:rFonts w:ascii="宋体" w:hAnsi="宋体"/>
          <w:sz w:val="24"/>
        </w:rPr>
        <w:t>在执行本合同中发生的或与本合同有关的争端，双方应通过友好协商解决，经协商在</w:t>
      </w:r>
      <w:r>
        <w:rPr>
          <w:rFonts w:hint="eastAsia" w:ascii="宋体" w:hAnsi="宋体"/>
          <w:color w:val="000000"/>
          <w:szCs w:val="21"/>
        </w:rPr>
        <w:t>XX</w:t>
      </w:r>
      <w:r>
        <w:rPr>
          <w:rFonts w:ascii="宋体" w:hAnsi="宋体"/>
          <w:sz w:val="24"/>
        </w:rPr>
        <w:t>天内不能达成协议时，应提交成都仲裁委员会仲裁。</w:t>
      </w:r>
    </w:p>
    <w:p>
      <w:pPr>
        <w:tabs>
          <w:tab w:val="left" w:pos="0"/>
        </w:tabs>
        <w:spacing w:line="360" w:lineRule="auto"/>
        <w:ind w:firstLine="480" w:firstLineChars="200"/>
        <w:rPr>
          <w:rFonts w:ascii="宋体" w:hAnsi="宋体"/>
          <w:sz w:val="24"/>
        </w:rPr>
      </w:pPr>
      <w:r>
        <w:rPr>
          <w:rFonts w:hint="eastAsia" w:ascii="宋体" w:hAnsi="宋体"/>
          <w:sz w:val="24"/>
        </w:rPr>
        <w:t>2、</w:t>
      </w:r>
      <w:r>
        <w:rPr>
          <w:rFonts w:ascii="宋体" w:hAnsi="宋体"/>
          <w:sz w:val="24"/>
        </w:rPr>
        <w:t>仲裁裁决应为最终决定，并对双方具有约束力。</w:t>
      </w:r>
    </w:p>
    <w:p>
      <w:pPr>
        <w:tabs>
          <w:tab w:val="left" w:pos="0"/>
        </w:tabs>
        <w:spacing w:line="360" w:lineRule="auto"/>
        <w:ind w:firstLine="480" w:firstLineChars="200"/>
        <w:rPr>
          <w:rFonts w:ascii="宋体" w:hAnsi="宋体"/>
          <w:sz w:val="24"/>
        </w:rPr>
      </w:pPr>
      <w:r>
        <w:rPr>
          <w:rFonts w:hint="eastAsia" w:ascii="宋体" w:hAnsi="宋体"/>
          <w:sz w:val="24"/>
        </w:rPr>
        <w:t>3、</w:t>
      </w:r>
      <w:r>
        <w:rPr>
          <w:rFonts w:ascii="宋体" w:hAnsi="宋体"/>
          <w:sz w:val="24"/>
        </w:rPr>
        <w:t xml:space="preserve">除另有裁决外，仲裁费应由败诉方负担。 </w:t>
      </w:r>
    </w:p>
    <w:p>
      <w:pPr>
        <w:tabs>
          <w:tab w:val="left" w:pos="0"/>
        </w:tabs>
        <w:spacing w:line="360" w:lineRule="auto"/>
        <w:ind w:firstLine="480" w:firstLineChars="200"/>
        <w:rPr>
          <w:rFonts w:ascii="宋体" w:hAnsi="宋体"/>
          <w:sz w:val="24"/>
        </w:rPr>
      </w:pPr>
      <w:r>
        <w:rPr>
          <w:rFonts w:hint="eastAsia" w:ascii="宋体" w:hAnsi="宋体"/>
          <w:sz w:val="24"/>
        </w:rPr>
        <w:t>4、</w:t>
      </w:r>
      <w:r>
        <w:rPr>
          <w:rFonts w:ascii="宋体" w:hAnsi="宋体"/>
          <w:sz w:val="24"/>
        </w:rPr>
        <w:t xml:space="preserve">在仲裁期间，除正在进行仲裁部分外，合同其他部分继续执行。  </w:t>
      </w:r>
    </w:p>
    <w:p>
      <w:pPr>
        <w:spacing w:line="360" w:lineRule="auto"/>
        <w:rPr>
          <w:rFonts w:ascii="宋体" w:hAnsi="宋体"/>
          <w:b/>
          <w:sz w:val="24"/>
        </w:rPr>
      </w:pPr>
      <w:bookmarkStart w:id="94" w:name="_Toc225654650"/>
      <w:bookmarkStart w:id="95" w:name="_Toc283019219"/>
      <w:bookmarkStart w:id="96" w:name="_Toc225670757"/>
      <w:bookmarkStart w:id="97" w:name="_Toc232492934"/>
      <w:bookmarkStart w:id="98" w:name="_Toc237145412"/>
      <w:bookmarkStart w:id="99" w:name="_Toc225244858"/>
      <w:bookmarkStart w:id="100" w:name="_Toc211854455"/>
      <w:bookmarkStart w:id="101" w:name="_Toc239233920"/>
      <w:bookmarkStart w:id="102" w:name="_Toc238984981"/>
      <w:bookmarkStart w:id="103" w:name="_Toc185395255"/>
      <w:bookmarkStart w:id="104" w:name="_Toc212019600"/>
      <w:bookmarkStart w:id="105" w:name="_Toc251768868"/>
      <w:bookmarkStart w:id="106" w:name="_Toc247334847"/>
      <w:bookmarkStart w:id="107" w:name="_Toc211911354"/>
      <w:bookmarkStart w:id="108" w:name="_Toc282696231"/>
      <w:bookmarkStart w:id="109" w:name="_Toc241833909"/>
      <w:bookmarkStart w:id="110" w:name="_Toc239568424"/>
      <w:bookmarkStart w:id="111" w:name="_Toc286993793"/>
      <w:r>
        <w:rPr>
          <w:rFonts w:hint="eastAsia" w:ascii="宋体" w:hAnsi="宋体"/>
          <w:b/>
          <w:sz w:val="24"/>
        </w:rPr>
        <w:t>13.</w:t>
      </w:r>
      <w:r>
        <w:rPr>
          <w:rFonts w:ascii="宋体" w:hAnsi="宋体"/>
          <w:b/>
          <w:sz w:val="24"/>
        </w:rPr>
        <w:t>合同</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b/>
          <w:sz w:val="24"/>
        </w:rPr>
        <w:t>生效及其他</w:t>
      </w:r>
    </w:p>
    <w:p>
      <w:pPr>
        <w:pStyle w:val="67"/>
        <w:spacing w:line="360" w:lineRule="auto"/>
        <w:ind w:firstLine="480"/>
        <w:rPr>
          <w:rFonts w:ascii="宋体" w:hAnsi="宋体"/>
          <w:sz w:val="24"/>
          <w:szCs w:val="24"/>
        </w:rPr>
      </w:pPr>
      <w:r>
        <w:rPr>
          <w:rFonts w:hint="eastAsia" w:ascii="宋体" w:hAnsi="宋体"/>
          <w:sz w:val="24"/>
          <w:szCs w:val="24"/>
        </w:rPr>
        <w:t>1、合同经双方法定代表人或授权委托代理人签字并加盖单位公章后生效。</w:t>
      </w:r>
    </w:p>
    <w:p>
      <w:pPr>
        <w:pStyle w:val="67"/>
        <w:spacing w:line="360" w:lineRule="auto"/>
        <w:ind w:firstLine="480"/>
        <w:rPr>
          <w:rFonts w:ascii="宋体" w:hAnsi="宋体"/>
          <w:sz w:val="24"/>
          <w:szCs w:val="24"/>
        </w:rPr>
      </w:pPr>
      <w:r>
        <w:rPr>
          <w:rFonts w:hint="eastAsia" w:ascii="宋体" w:hAnsi="宋体"/>
          <w:sz w:val="24"/>
          <w:szCs w:val="24"/>
        </w:rPr>
        <w:t>2、合同执行中涉及采购资金和采购内容修改或补充的，须经采购监管部门审批，并签书面补充协议报采购监督管理部门备案，方可作为主合同不可分割的一部分。</w:t>
      </w:r>
    </w:p>
    <w:p>
      <w:pPr>
        <w:pStyle w:val="67"/>
        <w:spacing w:line="360" w:lineRule="auto"/>
        <w:ind w:firstLine="480"/>
        <w:rPr>
          <w:rFonts w:ascii="宋体" w:hAnsi="宋体"/>
          <w:sz w:val="24"/>
          <w:szCs w:val="24"/>
        </w:rPr>
      </w:pPr>
      <w:r>
        <w:rPr>
          <w:rFonts w:hint="eastAsia" w:ascii="宋体" w:hAnsi="宋体"/>
          <w:sz w:val="24"/>
          <w:szCs w:val="24"/>
        </w:rPr>
        <w:t>3、本合同一式</w:t>
      </w:r>
      <w:r>
        <w:rPr>
          <w:rFonts w:hint="eastAsia" w:ascii="宋体" w:hAnsi="宋体"/>
          <w:sz w:val="24"/>
          <w:szCs w:val="24"/>
          <w:u w:val="single"/>
        </w:rPr>
        <w:t xml:space="preserve">     </w:t>
      </w:r>
      <w:r>
        <w:rPr>
          <w:rFonts w:hint="eastAsia" w:ascii="宋体" w:hAnsi="宋体"/>
          <w:sz w:val="24"/>
          <w:szCs w:val="24"/>
        </w:rPr>
        <w:t>份，自双方签章之日起起效。甲方</w:t>
      </w:r>
      <w:r>
        <w:rPr>
          <w:rFonts w:hint="eastAsia" w:ascii="宋体" w:hAnsi="宋体"/>
          <w:color w:val="000000"/>
          <w:szCs w:val="21"/>
          <w:u w:val="single"/>
        </w:rPr>
        <w:t xml:space="preserve">      </w:t>
      </w:r>
      <w:r>
        <w:rPr>
          <w:rFonts w:hint="eastAsia" w:ascii="宋体" w:hAnsi="宋体"/>
          <w:sz w:val="24"/>
          <w:szCs w:val="24"/>
        </w:rPr>
        <w:t>份，乙方</w:t>
      </w:r>
      <w:r>
        <w:rPr>
          <w:rFonts w:hint="eastAsia" w:ascii="宋体" w:hAnsi="宋体"/>
          <w:color w:val="000000"/>
          <w:szCs w:val="21"/>
          <w:u w:val="single"/>
        </w:rPr>
        <w:t xml:space="preserve">      </w:t>
      </w:r>
      <w:r>
        <w:rPr>
          <w:rFonts w:hint="eastAsia" w:ascii="宋体" w:hAnsi="宋体"/>
          <w:sz w:val="24"/>
          <w:szCs w:val="24"/>
        </w:rPr>
        <w:t>份，采购代理机构</w:t>
      </w:r>
      <w:r>
        <w:rPr>
          <w:rFonts w:hint="eastAsia" w:ascii="宋体" w:hAnsi="宋体"/>
          <w:sz w:val="24"/>
          <w:szCs w:val="24"/>
          <w:u w:val="single"/>
        </w:rPr>
        <w:t xml:space="preserve">      </w:t>
      </w:r>
      <w:r>
        <w:rPr>
          <w:rFonts w:hint="eastAsia" w:ascii="宋体" w:hAnsi="宋体"/>
          <w:sz w:val="24"/>
          <w:szCs w:val="24"/>
        </w:rPr>
        <w:t>份，具有同等法律效力。</w:t>
      </w:r>
    </w:p>
    <w:p>
      <w:pPr>
        <w:spacing w:line="360" w:lineRule="auto"/>
        <w:rPr>
          <w:rFonts w:ascii="宋体" w:hAnsi="宋体"/>
          <w:b/>
          <w:sz w:val="24"/>
        </w:rPr>
      </w:pPr>
      <w:r>
        <w:rPr>
          <w:rFonts w:hint="eastAsia" w:ascii="宋体" w:hAnsi="宋体"/>
          <w:b/>
          <w:sz w:val="24"/>
        </w:rPr>
        <w:t>14.附件</w:t>
      </w:r>
    </w:p>
    <w:p>
      <w:pPr>
        <w:spacing w:line="360" w:lineRule="auto"/>
        <w:rPr>
          <w:rFonts w:ascii="宋体" w:hAnsi="宋体"/>
          <w:sz w:val="24"/>
        </w:rPr>
      </w:pPr>
    </w:p>
    <w:p>
      <w:pPr>
        <w:spacing w:line="400" w:lineRule="exact"/>
        <w:ind w:firstLine="480" w:firstLineChars="200"/>
        <w:rPr>
          <w:rFonts w:ascii="宋体" w:hAnsi="宋体"/>
          <w:sz w:val="24"/>
        </w:rPr>
      </w:pPr>
      <w:r>
        <w:rPr>
          <w:rFonts w:hint="eastAsia" w:ascii="宋体" w:hAnsi="宋体"/>
          <w:sz w:val="24"/>
        </w:rPr>
        <w:t>甲方：   （盖章）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乙方：</w:t>
      </w:r>
      <w:r>
        <w:rPr>
          <w:rFonts w:ascii="宋体" w:hAnsi="宋体"/>
          <w:sz w:val="24"/>
        </w:rPr>
        <w:t xml:space="preserve">   </w:t>
      </w:r>
      <w:r>
        <w:rPr>
          <w:rFonts w:hint="eastAsia" w:ascii="宋体" w:hAnsi="宋体"/>
          <w:sz w:val="24"/>
        </w:rPr>
        <w:t>（盖章）</w:t>
      </w:r>
    </w:p>
    <w:p>
      <w:pPr>
        <w:spacing w:line="400" w:lineRule="exact"/>
        <w:ind w:firstLine="480" w:firstLineChars="200"/>
        <w:rPr>
          <w:rFonts w:ascii="宋体" w:hAnsi="宋体"/>
          <w:sz w:val="24"/>
        </w:rPr>
      </w:pPr>
      <w:r>
        <w:rPr>
          <w:rFonts w:hint="eastAsia" w:ascii="宋体" w:hAnsi="宋体"/>
          <w:sz w:val="24"/>
        </w:rPr>
        <w:t>法定代表人（授权代表）：</w:t>
      </w:r>
      <w:r>
        <w:rPr>
          <w:rFonts w:ascii="宋体" w:hAnsi="宋体"/>
          <w:sz w:val="24"/>
        </w:rPr>
        <w:t xml:space="preserve">            </w:t>
      </w:r>
      <w:r>
        <w:rPr>
          <w:rFonts w:hint="eastAsia" w:ascii="宋体" w:hAnsi="宋体"/>
          <w:sz w:val="24"/>
        </w:rPr>
        <w:t>法定代表人（授权代表）：</w:t>
      </w:r>
    </w:p>
    <w:p>
      <w:pPr>
        <w:spacing w:line="400" w:lineRule="exact"/>
        <w:ind w:firstLine="480" w:firstLineChars="2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400" w:lineRule="exact"/>
        <w:ind w:firstLine="480" w:firstLineChars="200"/>
        <w:rPr>
          <w:rFonts w:ascii="宋体" w:hAns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400" w:lineRule="exact"/>
        <w:ind w:firstLine="480" w:firstLineChars="200"/>
        <w:rPr>
          <w:rFonts w:ascii="宋体" w:hAnsi="宋体"/>
          <w:sz w:val="24"/>
        </w:rPr>
      </w:pPr>
      <w:r>
        <w:rPr>
          <w:rFonts w:hint="eastAsia" w:ascii="宋体" w:hAnsi="宋体"/>
          <w:sz w:val="24"/>
        </w:rPr>
        <w:t>账号：</w:t>
      </w:r>
      <w:r>
        <w:rPr>
          <w:rFonts w:ascii="宋体" w:hAnsi="宋体"/>
          <w:sz w:val="24"/>
        </w:rPr>
        <w:t xml:space="preserve">                             </w:t>
      </w:r>
      <w:r>
        <w:rPr>
          <w:rFonts w:hint="eastAsia" w:ascii="宋体" w:hAnsi="宋体"/>
          <w:sz w:val="24"/>
        </w:rPr>
        <w:t>账号：</w:t>
      </w:r>
    </w:p>
    <w:p>
      <w:pPr>
        <w:spacing w:line="400" w:lineRule="exact"/>
        <w:ind w:firstLine="480" w:firstLineChars="20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p>
    <w:p>
      <w:pPr>
        <w:spacing w:line="400" w:lineRule="exact"/>
        <w:ind w:firstLine="480" w:firstLineChars="200"/>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p>
    <w:p>
      <w:pPr>
        <w:spacing w:line="400" w:lineRule="exact"/>
        <w:ind w:firstLine="480" w:firstLineChars="200"/>
        <w:rPr>
          <w:rFonts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t xml:space="preserve"> </w:t>
      </w:r>
      <w:r>
        <w:rPr>
          <w:rFonts w:ascii="宋体" w:hAnsi="宋体"/>
          <w:sz w:val="24"/>
        </w:rPr>
        <w:tab/>
      </w:r>
      <w:r>
        <w:rPr>
          <w:rFonts w:ascii="宋体" w:hAnsi="宋体"/>
          <w:sz w:val="24"/>
        </w:rPr>
        <w:tab/>
      </w: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headerReference r:id="rId11"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separate"/>
    </w:r>
    <w:r>
      <w:rPr>
        <w:rStyle w:val="38"/>
      </w:rPr>
      <w:t xml:space="preserve"> </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四川省工商行政管理局数据中心建设项目政府采购—竞争性谈判文件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both"/>
    </w:pPr>
  </w:p>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1ED2C"/>
    <w:multiLevelType w:val="singleLevel"/>
    <w:tmpl w:val="98A1ED2C"/>
    <w:lvl w:ilvl="0" w:tentative="0">
      <w:start w:val="10"/>
      <w:numFmt w:val="chineseCounting"/>
      <w:suff w:val="space"/>
      <w:lvlText w:val="第%1章"/>
      <w:lvlJc w:val="left"/>
      <w:rPr>
        <w:rFonts w:hint="eastAsia"/>
      </w:rPr>
    </w:lvl>
  </w:abstractNum>
  <w:abstractNum w:abstractNumId="1">
    <w:nsid w:val="9A5F4280"/>
    <w:multiLevelType w:val="singleLevel"/>
    <w:tmpl w:val="9A5F4280"/>
    <w:lvl w:ilvl="0" w:tentative="0">
      <w:start w:val="1"/>
      <w:numFmt w:val="decimal"/>
      <w:suff w:val="space"/>
      <w:lvlText w:val="%1、"/>
      <w:lvlJc w:val="left"/>
    </w:lvl>
  </w:abstractNum>
  <w:abstractNum w:abstractNumId="2">
    <w:nsid w:val="C77AF2A3"/>
    <w:multiLevelType w:val="singleLevel"/>
    <w:tmpl w:val="C77AF2A3"/>
    <w:lvl w:ilvl="0" w:tentative="0">
      <w:start w:val="1"/>
      <w:numFmt w:val="chineseCounting"/>
      <w:suff w:val="nothing"/>
      <w:lvlText w:val="（%1）"/>
      <w:lvlJc w:val="left"/>
      <w:pPr>
        <w:ind w:left="0" w:firstLine="420"/>
      </w:pPr>
      <w:rPr>
        <w:rFonts w:hint="eastAsia"/>
      </w:rPr>
    </w:lvl>
  </w:abstractNum>
  <w:abstractNum w:abstractNumId="3">
    <w:nsid w:val="D08998DB"/>
    <w:multiLevelType w:val="singleLevel"/>
    <w:tmpl w:val="D08998DB"/>
    <w:lvl w:ilvl="0" w:tentative="0">
      <w:start w:val="1"/>
      <w:numFmt w:val="chineseCounting"/>
      <w:suff w:val="nothing"/>
      <w:lvlText w:val="%1、"/>
      <w:lvlJc w:val="left"/>
      <w:rPr>
        <w:rFonts w:hint="eastAsia"/>
      </w:rPr>
    </w:lvl>
  </w:abstractNum>
  <w:abstractNum w:abstractNumId="4">
    <w:nsid w:val="D59AB273"/>
    <w:multiLevelType w:val="singleLevel"/>
    <w:tmpl w:val="D59AB273"/>
    <w:lvl w:ilvl="0" w:tentative="0">
      <w:start w:val="1"/>
      <w:numFmt w:val="chineseCounting"/>
      <w:suff w:val="nothing"/>
      <w:lvlText w:val="（%1）"/>
      <w:lvlJc w:val="left"/>
      <w:pPr>
        <w:ind w:left="0" w:firstLine="420"/>
      </w:pPr>
      <w:rPr>
        <w:rFonts w:hint="eastAsia"/>
      </w:rPr>
    </w:lvl>
  </w:abstractNum>
  <w:abstractNum w:abstractNumId="5">
    <w:nsid w:val="F1A8C76C"/>
    <w:multiLevelType w:val="singleLevel"/>
    <w:tmpl w:val="F1A8C76C"/>
    <w:lvl w:ilvl="0" w:tentative="0">
      <w:start w:val="1"/>
      <w:numFmt w:val="chineseCounting"/>
      <w:suff w:val="nothing"/>
      <w:lvlText w:val="（%1）"/>
      <w:lvlJc w:val="left"/>
      <w:pPr>
        <w:ind w:left="0" w:firstLine="420"/>
      </w:pPr>
      <w:rPr>
        <w:rFonts w:hint="eastAsia"/>
      </w:rPr>
    </w:lvl>
  </w:abstractNum>
  <w:abstractNum w:abstractNumId="6">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EDAFA7"/>
    <w:multiLevelType w:val="singleLevel"/>
    <w:tmpl w:val="07EDAFA7"/>
    <w:lvl w:ilvl="0" w:tentative="0">
      <w:start w:val="1"/>
      <w:numFmt w:val="chineseCounting"/>
      <w:suff w:val="nothing"/>
      <w:lvlText w:val="（%1）"/>
      <w:lvlJc w:val="left"/>
      <w:pPr>
        <w:ind w:left="0" w:firstLine="420"/>
      </w:pPr>
      <w:rPr>
        <w:rFonts w:hint="eastAsia"/>
      </w:rPr>
    </w:lvl>
  </w:abstractNum>
  <w:abstractNum w:abstractNumId="8">
    <w:nsid w:val="18F6B87F"/>
    <w:multiLevelType w:val="singleLevel"/>
    <w:tmpl w:val="18F6B87F"/>
    <w:lvl w:ilvl="0" w:tentative="0">
      <w:start w:val="1"/>
      <w:numFmt w:val="decimal"/>
      <w:lvlText w:val="%1."/>
      <w:lvlJc w:val="left"/>
      <w:pPr>
        <w:ind w:left="425" w:hanging="425"/>
      </w:pPr>
      <w:rPr>
        <w:rFonts w:hint="default"/>
      </w:rPr>
    </w:lvl>
  </w:abstractNum>
  <w:abstractNum w:abstractNumId="9">
    <w:nsid w:val="7188D1C0"/>
    <w:multiLevelType w:val="singleLevel"/>
    <w:tmpl w:val="7188D1C0"/>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5"/>
  </w:num>
  <w:num w:numId="4">
    <w:abstractNumId w:val="7"/>
  </w:num>
  <w:num w:numId="5">
    <w:abstractNumId w:val="4"/>
  </w:num>
  <w:num w:numId="6">
    <w:abstractNumId w:val="9"/>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dujiangyan.com.cn:8030/seeyon/officeservlet"/>
  </w:docVars>
  <w:rsids>
    <w:rsidRoot w:val="007A683D"/>
    <w:rsid w:val="00004CC7"/>
    <w:rsid w:val="00007ABB"/>
    <w:rsid w:val="00010C32"/>
    <w:rsid w:val="00010F41"/>
    <w:rsid w:val="0001222A"/>
    <w:rsid w:val="000145ED"/>
    <w:rsid w:val="00021ED0"/>
    <w:rsid w:val="00022E65"/>
    <w:rsid w:val="00022F9F"/>
    <w:rsid w:val="000235D9"/>
    <w:rsid w:val="00023E85"/>
    <w:rsid w:val="0003038F"/>
    <w:rsid w:val="00036EEF"/>
    <w:rsid w:val="000558A5"/>
    <w:rsid w:val="00057868"/>
    <w:rsid w:val="000625C3"/>
    <w:rsid w:val="00065607"/>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2728"/>
    <w:rsid w:val="00185382"/>
    <w:rsid w:val="0018580B"/>
    <w:rsid w:val="00186892"/>
    <w:rsid w:val="0019389F"/>
    <w:rsid w:val="001A34F3"/>
    <w:rsid w:val="001A6131"/>
    <w:rsid w:val="001B0555"/>
    <w:rsid w:val="001B1735"/>
    <w:rsid w:val="001C03A0"/>
    <w:rsid w:val="001C186E"/>
    <w:rsid w:val="001C4B70"/>
    <w:rsid w:val="001C6ECA"/>
    <w:rsid w:val="001D05ED"/>
    <w:rsid w:val="001D1F59"/>
    <w:rsid w:val="001D777B"/>
    <w:rsid w:val="001E2945"/>
    <w:rsid w:val="001E7DDD"/>
    <w:rsid w:val="001F108C"/>
    <w:rsid w:val="001F150C"/>
    <w:rsid w:val="001F425D"/>
    <w:rsid w:val="001F5E62"/>
    <w:rsid w:val="00200661"/>
    <w:rsid w:val="002063B7"/>
    <w:rsid w:val="00210A75"/>
    <w:rsid w:val="002120E1"/>
    <w:rsid w:val="002129B6"/>
    <w:rsid w:val="00214848"/>
    <w:rsid w:val="00215402"/>
    <w:rsid w:val="00221861"/>
    <w:rsid w:val="00236D8E"/>
    <w:rsid w:val="00236DF7"/>
    <w:rsid w:val="0024028B"/>
    <w:rsid w:val="00242140"/>
    <w:rsid w:val="00242CA9"/>
    <w:rsid w:val="00245799"/>
    <w:rsid w:val="002519C7"/>
    <w:rsid w:val="00262526"/>
    <w:rsid w:val="002636ED"/>
    <w:rsid w:val="00266EE9"/>
    <w:rsid w:val="002703ED"/>
    <w:rsid w:val="00275F06"/>
    <w:rsid w:val="00286FBA"/>
    <w:rsid w:val="00290C5C"/>
    <w:rsid w:val="00292726"/>
    <w:rsid w:val="00293D65"/>
    <w:rsid w:val="002942EE"/>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16811"/>
    <w:rsid w:val="00320045"/>
    <w:rsid w:val="003234FC"/>
    <w:rsid w:val="0033202F"/>
    <w:rsid w:val="00332E01"/>
    <w:rsid w:val="00337591"/>
    <w:rsid w:val="00340727"/>
    <w:rsid w:val="00340C44"/>
    <w:rsid w:val="00343237"/>
    <w:rsid w:val="00344992"/>
    <w:rsid w:val="003469DD"/>
    <w:rsid w:val="0035550A"/>
    <w:rsid w:val="0036303D"/>
    <w:rsid w:val="00363398"/>
    <w:rsid w:val="003651A1"/>
    <w:rsid w:val="0036590B"/>
    <w:rsid w:val="00373575"/>
    <w:rsid w:val="003738E0"/>
    <w:rsid w:val="003818A3"/>
    <w:rsid w:val="003820C8"/>
    <w:rsid w:val="00386169"/>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D7B74"/>
    <w:rsid w:val="003E1ABC"/>
    <w:rsid w:val="003E1AD8"/>
    <w:rsid w:val="003E635F"/>
    <w:rsid w:val="003F66DA"/>
    <w:rsid w:val="003F6E34"/>
    <w:rsid w:val="00402ECE"/>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205EF"/>
    <w:rsid w:val="005237F0"/>
    <w:rsid w:val="005248EF"/>
    <w:rsid w:val="00535504"/>
    <w:rsid w:val="00536BE1"/>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82D43"/>
    <w:rsid w:val="006853DD"/>
    <w:rsid w:val="00690DF4"/>
    <w:rsid w:val="006A05AB"/>
    <w:rsid w:val="006A3394"/>
    <w:rsid w:val="006A3B09"/>
    <w:rsid w:val="006A3CFA"/>
    <w:rsid w:val="006B2929"/>
    <w:rsid w:val="006B6D27"/>
    <w:rsid w:val="006B7071"/>
    <w:rsid w:val="006C01D6"/>
    <w:rsid w:val="006C07CC"/>
    <w:rsid w:val="006C1A43"/>
    <w:rsid w:val="006C20FE"/>
    <w:rsid w:val="006C2E70"/>
    <w:rsid w:val="006C6FA1"/>
    <w:rsid w:val="006C7557"/>
    <w:rsid w:val="006D4FA7"/>
    <w:rsid w:val="006E15FB"/>
    <w:rsid w:val="006F1ACB"/>
    <w:rsid w:val="006F2FC8"/>
    <w:rsid w:val="006F38F5"/>
    <w:rsid w:val="0070013F"/>
    <w:rsid w:val="007014F1"/>
    <w:rsid w:val="00701DD9"/>
    <w:rsid w:val="00703843"/>
    <w:rsid w:val="00707412"/>
    <w:rsid w:val="00715BE2"/>
    <w:rsid w:val="007177ED"/>
    <w:rsid w:val="0072361E"/>
    <w:rsid w:val="00723896"/>
    <w:rsid w:val="00723C4D"/>
    <w:rsid w:val="00731BCA"/>
    <w:rsid w:val="0073433C"/>
    <w:rsid w:val="00734518"/>
    <w:rsid w:val="007374C0"/>
    <w:rsid w:val="0074185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A6F75"/>
    <w:rsid w:val="007B37D1"/>
    <w:rsid w:val="007C05FA"/>
    <w:rsid w:val="007C40FE"/>
    <w:rsid w:val="007C7A0C"/>
    <w:rsid w:val="007D1567"/>
    <w:rsid w:val="007D411B"/>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0B4A"/>
    <w:rsid w:val="0088578D"/>
    <w:rsid w:val="0088728B"/>
    <w:rsid w:val="00893DAE"/>
    <w:rsid w:val="00894053"/>
    <w:rsid w:val="00895121"/>
    <w:rsid w:val="008A4AC1"/>
    <w:rsid w:val="008B396A"/>
    <w:rsid w:val="008B46F2"/>
    <w:rsid w:val="008D19EC"/>
    <w:rsid w:val="008D33B6"/>
    <w:rsid w:val="008D3A4E"/>
    <w:rsid w:val="008D4F4C"/>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14D7B"/>
    <w:rsid w:val="00A2514C"/>
    <w:rsid w:val="00A41F44"/>
    <w:rsid w:val="00A44B42"/>
    <w:rsid w:val="00A45770"/>
    <w:rsid w:val="00A51A90"/>
    <w:rsid w:val="00A541BD"/>
    <w:rsid w:val="00A54521"/>
    <w:rsid w:val="00A559E4"/>
    <w:rsid w:val="00A55DB4"/>
    <w:rsid w:val="00A63261"/>
    <w:rsid w:val="00A7160E"/>
    <w:rsid w:val="00A74305"/>
    <w:rsid w:val="00A83AC1"/>
    <w:rsid w:val="00A86ACC"/>
    <w:rsid w:val="00A9028D"/>
    <w:rsid w:val="00A9702A"/>
    <w:rsid w:val="00AA0052"/>
    <w:rsid w:val="00AA01E4"/>
    <w:rsid w:val="00AA036B"/>
    <w:rsid w:val="00AB7CE5"/>
    <w:rsid w:val="00AC0B1F"/>
    <w:rsid w:val="00AC36A5"/>
    <w:rsid w:val="00AC4408"/>
    <w:rsid w:val="00AC56BD"/>
    <w:rsid w:val="00AD0272"/>
    <w:rsid w:val="00AD0386"/>
    <w:rsid w:val="00AD2B92"/>
    <w:rsid w:val="00AE1F5C"/>
    <w:rsid w:val="00AE3F8F"/>
    <w:rsid w:val="00AE78F5"/>
    <w:rsid w:val="00AF002B"/>
    <w:rsid w:val="00AF15BA"/>
    <w:rsid w:val="00AF1CF8"/>
    <w:rsid w:val="00AF2603"/>
    <w:rsid w:val="00AF6FFC"/>
    <w:rsid w:val="00AF7FE7"/>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761E4"/>
    <w:rsid w:val="00B8011F"/>
    <w:rsid w:val="00B80536"/>
    <w:rsid w:val="00B80581"/>
    <w:rsid w:val="00B87A9D"/>
    <w:rsid w:val="00B90035"/>
    <w:rsid w:val="00B90B32"/>
    <w:rsid w:val="00B9234B"/>
    <w:rsid w:val="00B95326"/>
    <w:rsid w:val="00B956EE"/>
    <w:rsid w:val="00B969D5"/>
    <w:rsid w:val="00B97136"/>
    <w:rsid w:val="00BA279A"/>
    <w:rsid w:val="00BB0FF7"/>
    <w:rsid w:val="00BB1D55"/>
    <w:rsid w:val="00BB3832"/>
    <w:rsid w:val="00BC1700"/>
    <w:rsid w:val="00BD19A0"/>
    <w:rsid w:val="00BD1CE2"/>
    <w:rsid w:val="00BD66F0"/>
    <w:rsid w:val="00BE04A8"/>
    <w:rsid w:val="00BE4957"/>
    <w:rsid w:val="00BF20FF"/>
    <w:rsid w:val="00BF5F29"/>
    <w:rsid w:val="00C0042D"/>
    <w:rsid w:val="00C0393E"/>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5635"/>
    <w:rsid w:val="00CC5538"/>
    <w:rsid w:val="00CC71E6"/>
    <w:rsid w:val="00CD07C3"/>
    <w:rsid w:val="00CE4310"/>
    <w:rsid w:val="00CE4557"/>
    <w:rsid w:val="00CE4D93"/>
    <w:rsid w:val="00CE5E67"/>
    <w:rsid w:val="00CE6E46"/>
    <w:rsid w:val="00CF27A1"/>
    <w:rsid w:val="00CF2A59"/>
    <w:rsid w:val="00D012B9"/>
    <w:rsid w:val="00D02615"/>
    <w:rsid w:val="00D05321"/>
    <w:rsid w:val="00D0642E"/>
    <w:rsid w:val="00D06D26"/>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87502"/>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36630"/>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38B2"/>
    <w:rsid w:val="00ED652A"/>
    <w:rsid w:val="00EE0180"/>
    <w:rsid w:val="00EE38CD"/>
    <w:rsid w:val="00EF1C2B"/>
    <w:rsid w:val="00EF39C5"/>
    <w:rsid w:val="00EF4CBF"/>
    <w:rsid w:val="00F028A6"/>
    <w:rsid w:val="00F05FCF"/>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0FF5"/>
    <w:rsid w:val="00FD5E91"/>
    <w:rsid w:val="00FE0C41"/>
    <w:rsid w:val="00FE1280"/>
    <w:rsid w:val="00FE31E8"/>
    <w:rsid w:val="00FE6375"/>
    <w:rsid w:val="00FF0D21"/>
    <w:rsid w:val="00FF1A99"/>
    <w:rsid w:val="01256538"/>
    <w:rsid w:val="016B3CA6"/>
    <w:rsid w:val="01CD7511"/>
    <w:rsid w:val="02430B2B"/>
    <w:rsid w:val="0306313E"/>
    <w:rsid w:val="03386882"/>
    <w:rsid w:val="03786FBA"/>
    <w:rsid w:val="03974857"/>
    <w:rsid w:val="03CF276F"/>
    <w:rsid w:val="03DB72A5"/>
    <w:rsid w:val="04127805"/>
    <w:rsid w:val="05052E25"/>
    <w:rsid w:val="05450B69"/>
    <w:rsid w:val="054A4CFA"/>
    <w:rsid w:val="05610639"/>
    <w:rsid w:val="05CF4AA3"/>
    <w:rsid w:val="0662250D"/>
    <w:rsid w:val="068C74DE"/>
    <w:rsid w:val="069756C9"/>
    <w:rsid w:val="06AF72DC"/>
    <w:rsid w:val="06B2643C"/>
    <w:rsid w:val="06EA41D2"/>
    <w:rsid w:val="06F82B78"/>
    <w:rsid w:val="071A250C"/>
    <w:rsid w:val="072E42E3"/>
    <w:rsid w:val="074A2EF3"/>
    <w:rsid w:val="0784507A"/>
    <w:rsid w:val="086118B3"/>
    <w:rsid w:val="087636AB"/>
    <w:rsid w:val="08D3679E"/>
    <w:rsid w:val="08D60B6D"/>
    <w:rsid w:val="091115D3"/>
    <w:rsid w:val="093F28FF"/>
    <w:rsid w:val="0968446C"/>
    <w:rsid w:val="09880AD8"/>
    <w:rsid w:val="09926EBF"/>
    <w:rsid w:val="0A9B0A35"/>
    <w:rsid w:val="0AA5328F"/>
    <w:rsid w:val="0AE12F18"/>
    <w:rsid w:val="0AEB1B75"/>
    <w:rsid w:val="0B134589"/>
    <w:rsid w:val="0B561DCB"/>
    <w:rsid w:val="0B5C78CC"/>
    <w:rsid w:val="0B7E48FD"/>
    <w:rsid w:val="0B9E10CF"/>
    <w:rsid w:val="0BA311EC"/>
    <w:rsid w:val="0BD95C00"/>
    <w:rsid w:val="0BF877A0"/>
    <w:rsid w:val="0BFB0153"/>
    <w:rsid w:val="0CB6308D"/>
    <w:rsid w:val="0CF92C66"/>
    <w:rsid w:val="0CFC2EE8"/>
    <w:rsid w:val="0D20616C"/>
    <w:rsid w:val="0D417D41"/>
    <w:rsid w:val="0DB2478D"/>
    <w:rsid w:val="0E044AD0"/>
    <w:rsid w:val="0E545AFA"/>
    <w:rsid w:val="0EB45289"/>
    <w:rsid w:val="0EBC73AB"/>
    <w:rsid w:val="0F4628FA"/>
    <w:rsid w:val="0F594D76"/>
    <w:rsid w:val="0FA44575"/>
    <w:rsid w:val="0FB34829"/>
    <w:rsid w:val="10224F7E"/>
    <w:rsid w:val="105B51DC"/>
    <w:rsid w:val="10B02E63"/>
    <w:rsid w:val="10C14D02"/>
    <w:rsid w:val="115C78ED"/>
    <w:rsid w:val="1168606F"/>
    <w:rsid w:val="116A5E9B"/>
    <w:rsid w:val="11C22947"/>
    <w:rsid w:val="11C96F3F"/>
    <w:rsid w:val="12322363"/>
    <w:rsid w:val="128C30FA"/>
    <w:rsid w:val="1308440F"/>
    <w:rsid w:val="13404493"/>
    <w:rsid w:val="135607B7"/>
    <w:rsid w:val="13780EB1"/>
    <w:rsid w:val="13B664F1"/>
    <w:rsid w:val="14537884"/>
    <w:rsid w:val="14593BBF"/>
    <w:rsid w:val="1478190B"/>
    <w:rsid w:val="147C00C8"/>
    <w:rsid w:val="14D56C28"/>
    <w:rsid w:val="14DE617B"/>
    <w:rsid w:val="151C338A"/>
    <w:rsid w:val="152D3690"/>
    <w:rsid w:val="1565002B"/>
    <w:rsid w:val="15855B9E"/>
    <w:rsid w:val="158E7089"/>
    <w:rsid w:val="15A979D9"/>
    <w:rsid w:val="161B7F1E"/>
    <w:rsid w:val="16490B40"/>
    <w:rsid w:val="164973BC"/>
    <w:rsid w:val="1686757C"/>
    <w:rsid w:val="16E97227"/>
    <w:rsid w:val="173D66F2"/>
    <w:rsid w:val="174145FC"/>
    <w:rsid w:val="17430389"/>
    <w:rsid w:val="175C0959"/>
    <w:rsid w:val="177941D0"/>
    <w:rsid w:val="17A5171C"/>
    <w:rsid w:val="17DC532F"/>
    <w:rsid w:val="184C7796"/>
    <w:rsid w:val="1860228C"/>
    <w:rsid w:val="18800267"/>
    <w:rsid w:val="18BB370C"/>
    <w:rsid w:val="18C82726"/>
    <w:rsid w:val="19645AD3"/>
    <w:rsid w:val="19731B79"/>
    <w:rsid w:val="19A830EA"/>
    <w:rsid w:val="1A024AC4"/>
    <w:rsid w:val="1A1D2E9F"/>
    <w:rsid w:val="1A3F729E"/>
    <w:rsid w:val="1A412BC2"/>
    <w:rsid w:val="1AA57B5F"/>
    <w:rsid w:val="1AF023DE"/>
    <w:rsid w:val="1B112FC2"/>
    <w:rsid w:val="1B260840"/>
    <w:rsid w:val="1B573E09"/>
    <w:rsid w:val="1C057357"/>
    <w:rsid w:val="1C2407D2"/>
    <w:rsid w:val="1C392717"/>
    <w:rsid w:val="1C771C32"/>
    <w:rsid w:val="1CE00409"/>
    <w:rsid w:val="1D314742"/>
    <w:rsid w:val="1DB16F63"/>
    <w:rsid w:val="1DD875A1"/>
    <w:rsid w:val="1E3C6829"/>
    <w:rsid w:val="1E5006DD"/>
    <w:rsid w:val="1E626810"/>
    <w:rsid w:val="1E7844D8"/>
    <w:rsid w:val="1E7C1444"/>
    <w:rsid w:val="1EA40187"/>
    <w:rsid w:val="1EE44777"/>
    <w:rsid w:val="1F0C080C"/>
    <w:rsid w:val="1F3A1F0D"/>
    <w:rsid w:val="1F515A41"/>
    <w:rsid w:val="1FD35646"/>
    <w:rsid w:val="20172E3F"/>
    <w:rsid w:val="208B7373"/>
    <w:rsid w:val="20A66D92"/>
    <w:rsid w:val="21432F64"/>
    <w:rsid w:val="21631CA7"/>
    <w:rsid w:val="21D218F6"/>
    <w:rsid w:val="21D64994"/>
    <w:rsid w:val="21EB58B3"/>
    <w:rsid w:val="21EE38EF"/>
    <w:rsid w:val="224A72AF"/>
    <w:rsid w:val="22547760"/>
    <w:rsid w:val="22723839"/>
    <w:rsid w:val="231B2385"/>
    <w:rsid w:val="23C823BC"/>
    <w:rsid w:val="240370EB"/>
    <w:rsid w:val="24057464"/>
    <w:rsid w:val="24386F5D"/>
    <w:rsid w:val="249A41D0"/>
    <w:rsid w:val="24A42D4D"/>
    <w:rsid w:val="24CC4700"/>
    <w:rsid w:val="24DF7F3F"/>
    <w:rsid w:val="24F46692"/>
    <w:rsid w:val="24F96510"/>
    <w:rsid w:val="25465CF4"/>
    <w:rsid w:val="255A6FCD"/>
    <w:rsid w:val="265277D8"/>
    <w:rsid w:val="265A320F"/>
    <w:rsid w:val="26D60601"/>
    <w:rsid w:val="26E51EF5"/>
    <w:rsid w:val="26FE01DA"/>
    <w:rsid w:val="2782130A"/>
    <w:rsid w:val="27AB046B"/>
    <w:rsid w:val="27FB0E00"/>
    <w:rsid w:val="28012834"/>
    <w:rsid w:val="28017784"/>
    <w:rsid w:val="282A7305"/>
    <w:rsid w:val="287F157E"/>
    <w:rsid w:val="28DD78F7"/>
    <w:rsid w:val="28E13AEA"/>
    <w:rsid w:val="29874879"/>
    <w:rsid w:val="2A026195"/>
    <w:rsid w:val="2A080E45"/>
    <w:rsid w:val="2AA0747E"/>
    <w:rsid w:val="2AC46C46"/>
    <w:rsid w:val="2AE33EE5"/>
    <w:rsid w:val="2AF3254C"/>
    <w:rsid w:val="2B01299A"/>
    <w:rsid w:val="2B170837"/>
    <w:rsid w:val="2B187CEF"/>
    <w:rsid w:val="2B243D1C"/>
    <w:rsid w:val="2B7A199A"/>
    <w:rsid w:val="2BB97180"/>
    <w:rsid w:val="2C5258B1"/>
    <w:rsid w:val="2C5300D5"/>
    <w:rsid w:val="2CAC416A"/>
    <w:rsid w:val="2CCE49E8"/>
    <w:rsid w:val="2CF040BC"/>
    <w:rsid w:val="2D2864D4"/>
    <w:rsid w:val="2D5E4AE2"/>
    <w:rsid w:val="2D6405B3"/>
    <w:rsid w:val="2D982CB3"/>
    <w:rsid w:val="2D9975D8"/>
    <w:rsid w:val="2DAA40C0"/>
    <w:rsid w:val="2DCC3E54"/>
    <w:rsid w:val="2DD32383"/>
    <w:rsid w:val="2DE50909"/>
    <w:rsid w:val="2E3A0EE3"/>
    <w:rsid w:val="2E8A18A9"/>
    <w:rsid w:val="2EB1759E"/>
    <w:rsid w:val="2EE72320"/>
    <w:rsid w:val="2EE8455C"/>
    <w:rsid w:val="2EEF344A"/>
    <w:rsid w:val="2EF45D33"/>
    <w:rsid w:val="2F697F69"/>
    <w:rsid w:val="2FC414F3"/>
    <w:rsid w:val="2FCB68CA"/>
    <w:rsid w:val="2FDD3282"/>
    <w:rsid w:val="2FE60929"/>
    <w:rsid w:val="2FFD54C5"/>
    <w:rsid w:val="306B364D"/>
    <w:rsid w:val="30715D36"/>
    <w:rsid w:val="30CA43A1"/>
    <w:rsid w:val="30D70117"/>
    <w:rsid w:val="30E75086"/>
    <w:rsid w:val="310D6C4C"/>
    <w:rsid w:val="31274B61"/>
    <w:rsid w:val="314B29C9"/>
    <w:rsid w:val="315971B5"/>
    <w:rsid w:val="319B12FA"/>
    <w:rsid w:val="32304138"/>
    <w:rsid w:val="32395DAD"/>
    <w:rsid w:val="32A658AF"/>
    <w:rsid w:val="32A81084"/>
    <w:rsid w:val="32C71297"/>
    <w:rsid w:val="32D70991"/>
    <w:rsid w:val="330655CD"/>
    <w:rsid w:val="33CF1C6D"/>
    <w:rsid w:val="33DC14FA"/>
    <w:rsid w:val="33E47CF9"/>
    <w:rsid w:val="33EF06B2"/>
    <w:rsid w:val="342A4684"/>
    <w:rsid w:val="3439693A"/>
    <w:rsid w:val="34476171"/>
    <w:rsid w:val="344A78B9"/>
    <w:rsid w:val="3494364D"/>
    <w:rsid w:val="34C3689E"/>
    <w:rsid w:val="34C9249A"/>
    <w:rsid w:val="34D13403"/>
    <w:rsid w:val="34D57E3D"/>
    <w:rsid w:val="34F34C56"/>
    <w:rsid w:val="350E60F3"/>
    <w:rsid w:val="35154ADA"/>
    <w:rsid w:val="357A5788"/>
    <w:rsid w:val="35B64728"/>
    <w:rsid w:val="36530971"/>
    <w:rsid w:val="36561BAE"/>
    <w:rsid w:val="36610C56"/>
    <w:rsid w:val="366B24CA"/>
    <w:rsid w:val="36EF28AF"/>
    <w:rsid w:val="371B0264"/>
    <w:rsid w:val="371E4610"/>
    <w:rsid w:val="376916D4"/>
    <w:rsid w:val="37730E27"/>
    <w:rsid w:val="379B2738"/>
    <w:rsid w:val="38095396"/>
    <w:rsid w:val="385666E5"/>
    <w:rsid w:val="38A73EEE"/>
    <w:rsid w:val="38DB70E7"/>
    <w:rsid w:val="38E42D35"/>
    <w:rsid w:val="391151AB"/>
    <w:rsid w:val="3AD16F1E"/>
    <w:rsid w:val="3B192EFF"/>
    <w:rsid w:val="3BA15EE2"/>
    <w:rsid w:val="3BB63565"/>
    <w:rsid w:val="3BC85A00"/>
    <w:rsid w:val="3BCE25E6"/>
    <w:rsid w:val="3BCE3BB9"/>
    <w:rsid w:val="3C1B106D"/>
    <w:rsid w:val="3C68364E"/>
    <w:rsid w:val="3CEA2ACF"/>
    <w:rsid w:val="3D0C77C5"/>
    <w:rsid w:val="3DD05CC9"/>
    <w:rsid w:val="3EA242D1"/>
    <w:rsid w:val="3EA7753D"/>
    <w:rsid w:val="3F006C63"/>
    <w:rsid w:val="3F0C0848"/>
    <w:rsid w:val="3F3618F0"/>
    <w:rsid w:val="3F496BBF"/>
    <w:rsid w:val="3F522E9C"/>
    <w:rsid w:val="3FC14E74"/>
    <w:rsid w:val="40275E65"/>
    <w:rsid w:val="40386F69"/>
    <w:rsid w:val="404A6865"/>
    <w:rsid w:val="40842268"/>
    <w:rsid w:val="40BD25B1"/>
    <w:rsid w:val="4113223E"/>
    <w:rsid w:val="41410FE7"/>
    <w:rsid w:val="4150405A"/>
    <w:rsid w:val="41643AD4"/>
    <w:rsid w:val="41A706E7"/>
    <w:rsid w:val="41BC1F10"/>
    <w:rsid w:val="41CC7778"/>
    <w:rsid w:val="424B3AFB"/>
    <w:rsid w:val="429242C3"/>
    <w:rsid w:val="42E250CC"/>
    <w:rsid w:val="431E7C90"/>
    <w:rsid w:val="43535B87"/>
    <w:rsid w:val="43765341"/>
    <w:rsid w:val="43AC0596"/>
    <w:rsid w:val="43AD5F98"/>
    <w:rsid w:val="443F2A3F"/>
    <w:rsid w:val="451B0620"/>
    <w:rsid w:val="4535729A"/>
    <w:rsid w:val="4596640E"/>
    <w:rsid w:val="45E60474"/>
    <w:rsid w:val="46724F27"/>
    <w:rsid w:val="46886E13"/>
    <w:rsid w:val="46A91F25"/>
    <w:rsid w:val="46CE0949"/>
    <w:rsid w:val="47202EC6"/>
    <w:rsid w:val="476756F9"/>
    <w:rsid w:val="47756B56"/>
    <w:rsid w:val="478F3EA7"/>
    <w:rsid w:val="47FC2668"/>
    <w:rsid w:val="48046EB6"/>
    <w:rsid w:val="482B5C12"/>
    <w:rsid w:val="48B63C31"/>
    <w:rsid w:val="48CF5749"/>
    <w:rsid w:val="48FD3D7D"/>
    <w:rsid w:val="492C3528"/>
    <w:rsid w:val="4972010E"/>
    <w:rsid w:val="49867DEA"/>
    <w:rsid w:val="49B4651F"/>
    <w:rsid w:val="49E329B9"/>
    <w:rsid w:val="4A1507E5"/>
    <w:rsid w:val="4A2C2FEF"/>
    <w:rsid w:val="4A5A0CB0"/>
    <w:rsid w:val="4A770C4E"/>
    <w:rsid w:val="4A9C1DE8"/>
    <w:rsid w:val="4AAF700B"/>
    <w:rsid w:val="4AB02606"/>
    <w:rsid w:val="4B5E4F4F"/>
    <w:rsid w:val="4BF012B6"/>
    <w:rsid w:val="4C0C5A54"/>
    <w:rsid w:val="4CDD3134"/>
    <w:rsid w:val="4CE6400E"/>
    <w:rsid w:val="4CF906E8"/>
    <w:rsid w:val="4D5670A7"/>
    <w:rsid w:val="4D5D1F52"/>
    <w:rsid w:val="4D8157E2"/>
    <w:rsid w:val="4E057A27"/>
    <w:rsid w:val="4E540763"/>
    <w:rsid w:val="4EAB24C1"/>
    <w:rsid w:val="4EB0364A"/>
    <w:rsid w:val="4EB31914"/>
    <w:rsid w:val="4EE976FE"/>
    <w:rsid w:val="4F5D7111"/>
    <w:rsid w:val="4F8E36B5"/>
    <w:rsid w:val="4FA45F82"/>
    <w:rsid w:val="4FC20AA7"/>
    <w:rsid w:val="4FE80B78"/>
    <w:rsid w:val="50572246"/>
    <w:rsid w:val="505F1EFD"/>
    <w:rsid w:val="50B70587"/>
    <w:rsid w:val="513D1102"/>
    <w:rsid w:val="51903945"/>
    <w:rsid w:val="519A03E7"/>
    <w:rsid w:val="51E312FA"/>
    <w:rsid w:val="523978C1"/>
    <w:rsid w:val="524E6B1F"/>
    <w:rsid w:val="526D6A4B"/>
    <w:rsid w:val="52EC7E76"/>
    <w:rsid w:val="5386188D"/>
    <w:rsid w:val="53B034DF"/>
    <w:rsid w:val="546537F0"/>
    <w:rsid w:val="54A21C39"/>
    <w:rsid w:val="54DE0F4F"/>
    <w:rsid w:val="54E53259"/>
    <w:rsid w:val="55777819"/>
    <w:rsid w:val="558D175E"/>
    <w:rsid w:val="55B769EE"/>
    <w:rsid w:val="55E82E9C"/>
    <w:rsid w:val="560B1770"/>
    <w:rsid w:val="563D07A6"/>
    <w:rsid w:val="56425FE9"/>
    <w:rsid w:val="567A73D2"/>
    <w:rsid w:val="56B57F62"/>
    <w:rsid w:val="57112A14"/>
    <w:rsid w:val="573E02EA"/>
    <w:rsid w:val="57770792"/>
    <w:rsid w:val="57787D9B"/>
    <w:rsid w:val="577C1E80"/>
    <w:rsid w:val="57C14EA6"/>
    <w:rsid w:val="57FA6209"/>
    <w:rsid w:val="58237198"/>
    <w:rsid w:val="58645568"/>
    <w:rsid w:val="58DB04C0"/>
    <w:rsid w:val="58DC32D2"/>
    <w:rsid w:val="58F05AD9"/>
    <w:rsid w:val="592B4B02"/>
    <w:rsid w:val="59350BFC"/>
    <w:rsid w:val="59A91667"/>
    <w:rsid w:val="59B81BCF"/>
    <w:rsid w:val="59BA7E85"/>
    <w:rsid w:val="5A812E59"/>
    <w:rsid w:val="5AB20E59"/>
    <w:rsid w:val="5ABA7460"/>
    <w:rsid w:val="5AF779F8"/>
    <w:rsid w:val="5B024938"/>
    <w:rsid w:val="5B3E2AC4"/>
    <w:rsid w:val="5B423DE4"/>
    <w:rsid w:val="5B4F7A8C"/>
    <w:rsid w:val="5B660D75"/>
    <w:rsid w:val="5B6F3327"/>
    <w:rsid w:val="5B9C24F1"/>
    <w:rsid w:val="5BB46CAC"/>
    <w:rsid w:val="5BE07D32"/>
    <w:rsid w:val="5CAE06D6"/>
    <w:rsid w:val="5CBA2C8D"/>
    <w:rsid w:val="5CBA37D5"/>
    <w:rsid w:val="5CD033D7"/>
    <w:rsid w:val="5CFA1CEF"/>
    <w:rsid w:val="5D2C49EA"/>
    <w:rsid w:val="5DB73653"/>
    <w:rsid w:val="5DD86408"/>
    <w:rsid w:val="5DDF5CFF"/>
    <w:rsid w:val="5DE44F8E"/>
    <w:rsid w:val="5E0F7C71"/>
    <w:rsid w:val="5E17184E"/>
    <w:rsid w:val="5E1E0FE7"/>
    <w:rsid w:val="5E241359"/>
    <w:rsid w:val="5E2F576D"/>
    <w:rsid w:val="5E4274C8"/>
    <w:rsid w:val="5E6737F7"/>
    <w:rsid w:val="5E916AC6"/>
    <w:rsid w:val="5E9F2768"/>
    <w:rsid w:val="5F111906"/>
    <w:rsid w:val="5F230F76"/>
    <w:rsid w:val="5F2447E2"/>
    <w:rsid w:val="5F284907"/>
    <w:rsid w:val="5FC37099"/>
    <w:rsid w:val="5FFD723B"/>
    <w:rsid w:val="602A170A"/>
    <w:rsid w:val="605A28BD"/>
    <w:rsid w:val="60A704C8"/>
    <w:rsid w:val="60B10868"/>
    <w:rsid w:val="610B183C"/>
    <w:rsid w:val="61613AC5"/>
    <w:rsid w:val="61A71260"/>
    <w:rsid w:val="61C07CB7"/>
    <w:rsid w:val="61D640C8"/>
    <w:rsid w:val="621D5FD0"/>
    <w:rsid w:val="62553A9B"/>
    <w:rsid w:val="6262635A"/>
    <w:rsid w:val="62A954D2"/>
    <w:rsid w:val="62C855B8"/>
    <w:rsid w:val="63671C2E"/>
    <w:rsid w:val="636B2C2C"/>
    <w:rsid w:val="63CC4F62"/>
    <w:rsid w:val="6445786C"/>
    <w:rsid w:val="64625F41"/>
    <w:rsid w:val="64CB159F"/>
    <w:rsid w:val="654A3277"/>
    <w:rsid w:val="65A7106E"/>
    <w:rsid w:val="65C02314"/>
    <w:rsid w:val="663F2988"/>
    <w:rsid w:val="6737768F"/>
    <w:rsid w:val="67700DF8"/>
    <w:rsid w:val="67993B01"/>
    <w:rsid w:val="67AC14B0"/>
    <w:rsid w:val="67D92C18"/>
    <w:rsid w:val="68567627"/>
    <w:rsid w:val="687363B3"/>
    <w:rsid w:val="68AE4213"/>
    <w:rsid w:val="68C54EE3"/>
    <w:rsid w:val="68DD2AE7"/>
    <w:rsid w:val="68F22024"/>
    <w:rsid w:val="69247457"/>
    <w:rsid w:val="695025C4"/>
    <w:rsid w:val="695A5977"/>
    <w:rsid w:val="698A4060"/>
    <w:rsid w:val="69C566EB"/>
    <w:rsid w:val="69C570DF"/>
    <w:rsid w:val="69D32674"/>
    <w:rsid w:val="69E14866"/>
    <w:rsid w:val="69E71CD8"/>
    <w:rsid w:val="6A4A7A2B"/>
    <w:rsid w:val="6A8D75D8"/>
    <w:rsid w:val="6ADA27C6"/>
    <w:rsid w:val="6AE3190A"/>
    <w:rsid w:val="6AF13AFD"/>
    <w:rsid w:val="6B225DD0"/>
    <w:rsid w:val="6B31380E"/>
    <w:rsid w:val="6B342B86"/>
    <w:rsid w:val="6B89487A"/>
    <w:rsid w:val="6BA90006"/>
    <w:rsid w:val="6BB043A7"/>
    <w:rsid w:val="6C161E18"/>
    <w:rsid w:val="6CBB08C6"/>
    <w:rsid w:val="6CC668F7"/>
    <w:rsid w:val="6CEB5639"/>
    <w:rsid w:val="6CFC4AAF"/>
    <w:rsid w:val="6D2A351D"/>
    <w:rsid w:val="6D2C5AA6"/>
    <w:rsid w:val="6D652599"/>
    <w:rsid w:val="6D743A98"/>
    <w:rsid w:val="6DA036B3"/>
    <w:rsid w:val="6E22181C"/>
    <w:rsid w:val="6E2E0B6D"/>
    <w:rsid w:val="6E3431D3"/>
    <w:rsid w:val="6E481A15"/>
    <w:rsid w:val="6E57633D"/>
    <w:rsid w:val="6E815E20"/>
    <w:rsid w:val="6F452AEE"/>
    <w:rsid w:val="6F7E447B"/>
    <w:rsid w:val="6F827E1F"/>
    <w:rsid w:val="6FBE33DD"/>
    <w:rsid w:val="70695629"/>
    <w:rsid w:val="707E27D0"/>
    <w:rsid w:val="709E2C66"/>
    <w:rsid w:val="715071FC"/>
    <w:rsid w:val="71C9438B"/>
    <w:rsid w:val="71E963AD"/>
    <w:rsid w:val="71EB232F"/>
    <w:rsid w:val="71F22395"/>
    <w:rsid w:val="72804A68"/>
    <w:rsid w:val="72C96FED"/>
    <w:rsid w:val="730C517B"/>
    <w:rsid w:val="73113CCB"/>
    <w:rsid w:val="7321107D"/>
    <w:rsid w:val="732F3A9D"/>
    <w:rsid w:val="73521971"/>
    <w:rsid w:val="735E79C5"/>
    <w:rsid w:val="736E713E"/>
    <w:rsid w:val="73705E50"/>
    <w:rsid w:val="73821076"/>
    <w:rsid w:val="73AA2969"/>
    <w:rsid w:val="73B0761F"/>
    <w:rsid w:val="73B22405"/>
    <w:rsid w:val="73CF1F2D"/>
    <w:rsid w:val="73FC1BEE"/>
    <w:rsid w:val="74822716"/>
    <w:rsid w:val="749E5105"/>
    <w:rsid w:val="74A77D79"/>
    <w:rsid w:val="74BB2C8C"/>
    <w:rsid w:val="74EE2280"/>
    <w:rsid w:val="750D3D28"/>
    <w:rsid w:val="756176A1"/>
    <w:rsid w:val="75D97900"/>
    <w:rsid w:val="76620626"/>
    <w:rsid w:val="767A37CF"/>
    <w:rsid w:val="768D428E"/>
    <w:rsid w:val="76D45B66"/>
    <w:rsid w:val="76E8509D"/>
    <w:rsid w:val="76FE2417"/>
    <w:rsid w:val="770C776D"/>
    <w:rsid w:val="771E653D"/>
    <w:rsid w:val="774B3CD5"/>
    <w:rsid w:val="77D9530E"/>
    <w:rsid w:val="7840735D"/>
    <w:rsid w:val="78494A04"/>
    <w:rsid w:val="784B6D67"/>
    <w:rsid w:val="787871D0"/>
    <w:rsid w:val="788E700F"/>
    <w:rsid w:val="78B34E88"/>
    <w:rsid w:val="7949154B"/>
    <w:rsid w:val="796B6B53"/>
    <w:rsid w:val="79D85CE8"/>
    <w:rsid w:val="7A1E0BB7"/>
    <w:rsid w:val="7A322C02"/>
    <w:rsid w:val="7A6374EA"/>
    <w:rsid w:val="7AF65F04"/>
    <w:rsid w:val="7B025D61"/>
    <w:rsid w:val="7B072853"/>
    <w:rsid w:val="7B706966"/>
    <w:rsid w:val="7BA10F88"/>
    <w:rsid w:val="7BC46440"/>
    <w:rsid w:val="7CA44252"/>
    <w:rsid w:val="7D2846D4"/>
    <w:rsid w:val="7D33690E"/>
    <w:rsid w:val="7D4877D4"/>
    <w:rsid w:val="7DB479EE"/>
    <w:rsid w:val="7DCD6635"/>
    <w:rsid w:val="7E561A8B"/>
    <w:rsid w:val="7E7E160A"/>
    <w:rsid w:val="7EE36967"/>
    <w:rsid w:val="7EF316B4"/>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20" w:after="320" w:line="579"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5" w:lineRule="auto"/>
      <w:outlineLvl w:val="2"/>
    </w:pPr>
    <w:rPr>
      <w:b/>
      <w:bCs/>
      <w:sz w:val="32"/>
      <w:szCs w:val="32"/>
    </w:rPr>
  </w:style>
  <w:style w:type="paragraph" w:styleId="6">
    <w:name w:val="heading 4"/>
    <w:basedOn w:val="1"/>
    <w:next w:val="1"/>
    <w:link w:val="7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8"/>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79"/>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0"/>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81"/>
    <w:qFormat/>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97"/>
    <w:qFormat/>
    <w:uiPriority w:val="0"/>
    <w:pPr>
      <w:spacing w:after="120"/>
    </w:pPr>
  </w:style>
  <w:style w:type="paragraph" w:styleId="12">
    <w:name w:val="annotation subject"/>
    <w:basedOn w:val="13"/>
    <w:next w:val="13"/>
    <w:link w:val="56"/>
    <w:qFormat/>
    <w:uiPriority w:val="0"/>
    <w:rPr>
      <w:b/>
      <w:bCs/>
    </w:rPr>
  </w:style>
  <w:style w:type="paragraph" w:styleId="13">
    <w:name w:val="annotation text"/>
    <w:basedOn w:val="1"/>
    <w:link w:val="51"/>
    <w:qFormat/>
    <w:uiPriority w:val="0"/>
    <w:pPr>
      <w:jc w:val="left"/>
    </w:pPr>
  </w:style>
  <w:style w:type="paragraph" w:styleId="14">
    <w:name w:val="toc 7"/>
    <w:basedOn w:val="1"/>
    <w:next w:val="1"/>
    <w:qFormat/>
    <w:uiPriority w:val="0"/>
    <w:pPr>
      <w:ind w:left="2520" w:leftChars="1200"/>
    </w:pPr>
  </w:style>
  <w:style w:type="paragraph" w:styleId="15">
    <w:name w:val="Normal Indent"/>
    <w:basedOn w:val="1"/>
    <w:link w:val="58"/>
    <w:qFormat/>
    <w:uiPriority w:val="0"/>
    <w:pPr>
      <w:ind w:firstLine="200" w:firstLineChars="200"/>
    </w:pPr>
  </w:style>
  <w:style w:type="paragraph" w:styleId="16">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17">
    <w:name w:val="Document Map"/>
    <w:basedOn w:val="1"/>
    <w:link w:val="50"/>
    <w:qFormat/>
    <w:uiPriority w:val="0"/>
    <w:rPr>
      <w:rFonts w:ascii="宋体"/>
      <w:sz w:val="18"/>
      <w:szCs w:val="18"/>
    </w:rPr>
  </w:style>
  <w:style w:type="paragraph" w:styleId="18">
    <w:name w:val="Body Text Indent"/>
    <w:basedOn w:val="1"/>
    <w:link w:val="53"/>
    <w:qFormat/>
    <w:uiPriority w:val="0"/>
    <w:pPr>
      <w:ind w:firstLine="630"/>
    </w:pPr>
    <w:rPr>
      <w:sz w:val="32"/>
      <w:szCs w:val="20"/>
    </w:rPr>
  </w:style>
  <w:style w:type="paragraph" w:styleId="19">
    <w:name w:val="index 4"/>
    <w:basedOn w:val="1"/>
    <w:next w:val="1"/>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72"/>
    <w:qFormat/>
    <w:uiPriority w:val="0"/>
    <w:rPr>
      <w:rFonts w:ascii="宋体" w:hAnsi="Courier New"/>
    </w:rPr>
  </w:style>
  <w:style w:type="paragraph" w:styleId="23">
    <w:name w:val="toc 8"/>
    <w:basedOn w:val="1"/>
    <w:next w:val="1"/>
    <w:qFormat/>
    <w:uiPriority w:val="0"/>
    <w:pPr>
      <w:ind w:left="2940" w:leftChars="1400"/>
    </w:pPr>
  </w:style>
  <w:style w:type="paragraph" w:styleId="24">
    <w:name w:val="Date"/>
    <w:basedOn w:val="1"/>
    <w:next w:val="1"/>
    <w:link w:val="89"/>
    <w:qFormat/>
    <w:uiPriority w:val="0"/>
    <w:pPr>
      <w:ind w:left="100" w:leftChars="2500"/>
    </w:pPr>
    <w:rPr>
      <w:rFonts w:ascii="宋体"/>
      <w:kern w:val="0"/>
      <w:sz w:val="28"/>
      <w:szCs w:val="20"/>
    </w:rPr>
  </w:style>
  <w:style w:type="paragraph" w:styleId="25">
    <w:name w:val="Balloon Text"/>
    <w:basedOn w:val="1"/>
    <w:link w:val="55"/>
    <w:qFormat/>
    <w:uiPriority w:val="0"/>
    <w:rPr>
      <w:sz w:val="18"/>
      <w:szCs w:val="18"/>
    </w:rPr>
  </w:style>
  <w:style w:type="paragraph" w:styleId="26">
    <w:name w:val="footer"/>
    <w:basedOn w:val="1"/>
    <w:link w:val="70"/>
    <w:qFormat/>
    <w:uiPriority w:val="99"/>
    <w:pPr>
      <w:tabs>
        <w:tab w:val="center" w:pos="4153"/>
        <w:tab w:val="right" w:pos="8306"/>
      </w:tabs>
      <w:snapToGrid w:val="0"/>
      <w:jc w:val="left"/>
    </w:pPr>
    <w:rPr>
      <w:sz w:val="18"/>
      <w:szCs w:val="20"/>
    </w:rPr>
  </w:style>
  <w:style w:type="paragraph" w:styleId="27">
    <w:name w:val="header"/>
    <w:basedOn w:val="1"/>
    <w:link w:val="92"/>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style>
  <w:style w:type="paragraph" w:styleId="32">
    <w:name w:val="toc 2"/>
    <w:basedOn w:val="1"/>
    <w:next w:val="1"/>
    <w:qFormat/>
    <w:uiPriority w:val="0"/>
    <w:pPr>
      <w:ind w:left="420" w:leftChars="200"/>
    </w:pPr>
  </w:style>
  <w:style w:type="paragraph" w:styleId="33">
    <w:name w:val="toc 9"/>
    <w:basedOn w:val="1"/>
    <w:next w:val="1"/>
    <w:qFormat/>
    <w:uiPriority w:val="0"/>
    <w:pPr>
      <w:ind w:left="3360" w:leftChars="1600"/>
    </w:pPr>
  </w:style>
  <w:style w:type="paragraph" w:styleId="34">
    <w:name w:val="Normal (Web)"/>
    <w:basedOn w:val="1"/>
    <w:qFormat/>
    <w:uiPriority w:val="0"/>
    <w:pPr>
      <w:widowControl/>
      <w:spacing w:before="100" w:beforeAutospacing="1" w:after="100" w:afterAutospacing="1"/>
      <w:jc w:val="left"/>
    </w:pPr>
    <w:rPr>
      <w:rFonts w:ascii="宋体"/>
      <w:kern w:val="0"/>
      <w:sz w:val="18"/>
      <w:szCs w:val="18"/>
    </w:rPr>
  </w:style>
  <w:style w:type="paragraph" w:styleId="35">
    <w:name w:val="Title"/>
    <w:basedOn w:val="1"/>
    <w:next w:val="1"/>
    <w:link w:val="105"/>
    <w:qFormat/>
    <w:uiPriority w:val="0"/>
    <w:pPr>
      <w:spacing w:before="240" w:after="60"/>
      <w:jc w:val="center"/>
      <w:outlineLvl w:val="0"/>
    </w:pPr>
    <w:rPr>
      <w:rFonts w:ascii="Cambria" w:hAnsi="Cambria"/>
      <w:b/>
      <w:bCs/>
      <w:sz w:val="32"/>
      <w:szCs w:val="32"/>
    </w:rPr>
  </w:style>
  <w:style w:type="character" w:styleId="37">
    <w:name w:val="Strong"/>
    <w:qFormat/>
    <w:uiPriority w:val="0"/>
    <w:rPr>
      <w:b/>
    </w:rPr>
  </w:style>
  <w:style w:type="character" w:styleId="38">
    <w:name w:val="page number"/>
    <w:qFormat/>
    <w:uiPriority w:val="0"/>
  </w:style>
  <w:style w:type="character" w:styleId="39">
    <w:name w:val="FollowedHyperlink"/>
    <w:qFormat/>
    <w:uiPriority w:val="0"/>
    <w:rPr>
      <w:color w:val="333333"/>
      <w:u w:val="none"/>
    </w:rPr>
  </w:style>
  <w:style w:type="character" w:styleId="40">
    <w:name w:val="Emphasis"/>
    <w:qFormat/>
    <w:uiPriority w:val="0"/>
  </w:style>
  <w:style w:type="character" w:styleId="41">
    <w:name w:val="HTML Definition"/>
    <w:qFormat/>
    <w:uiPriority w:val="0"/>
  </w:style>
  <w:style w:type="character" w:styleId="42">
    <w:name w:val="HTML Variable"/>
    <w:qFormat/>
    <w:uiPriority w:val="0"/>
  </w:style>
  <w:style w:type="character" w:styleId="43">
    <w:name w:val="Hyperlink"/>
    <w:qFormat/>
    <w:uiPriority w:val="99"/>
    <w:rPr>
      <w:color w:val="333333"/>
      <w:u w:val="none"/>
    </w:rPr>
  </w:style>
  <w:style w:type="character" w:styleId="44">
    <w:name w:val="HTML Code"/>
    <w:qFormat/>
    <w:uiPriority w:val="0"/>
    <w:rPr>
      <w:rFonts w:ascii="Courier New" w:hAnsi="Courier New"/>
      <w:sz w:val="20"/>
    </w:rPr>
  </w:style>
  <w:style w:type="character" w:styleId="45">
    <w:name w:val="annotation reference"/>
    <w:qFormat/>
    <w:uiPriority w:val="0"/>
    <w:rPr>
      <w:sz w:val="21"/>
      <w:szCs w:val="21"/>
    </w:rPr>
  </w:style>
  <w:style w:type="character" w:styleId="46">
    <w:name w:val="HTML Cite"/>
    <w:qFormat/>
    <w:uiPriority w:val="0"/>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101"/>
    <w:qFormat/>
    <w:uiPriority w:val="0"/>
    <w:rPr>
      <w:rFonts w:hint="eastAsia" w:ascii="宋体" w:hAnsi="宋体" w:eastAsia="宋体" w:cs="宋体"/>
      <w:color w:val="000000"/>
      <w:sz w:val="21"/>
      <w:szCs w:val="21"/>
      <w:u w:val="single"/>
    </w:rPr>
  </w:style>
  <w:style w:type="character" w:customStyle="1" w:styleId="50">
    <w:name w:val="文档结构图 Char"/>
    <w:link w:val="17"/>
    <w:qFormat/>
    <w:uiPriority w:val="0"/>
    <w:rPr>
      <w:rFonts w:ascii="宋体"/>
      <w:kern w:val="2"/>
      <w:sz w:val="18"/>
      <w:szCs w:val="18"/>
    </w:rPr>
  </w:style>
  <w:style w:type="character" w:customStyle="1" w:styleId="51">
    <w:name w:val="批注文字 Char"/>
    <w:link w:val="13"/>
    <w:qFormat/>
    <w:uiPriority w:val="0"/>
    <w:rPr>
      <w:kern w:val="2"/>
      <w:sz w:val="21"/>
      <w:szCs w:val="24"/>
    </w:rPr>
  </w:style>
  <w:style w:type="character" w:customStyle="1" w:styleId="52">
    <w:name w:val="font91"/>
    <w:qFormat/>
    <w:uiPriority w:val="0"/>
    <w:rPr>
      <w:rFonts w:hint="eastAsia" w:ascii="宋体" w:hAnsi="宋体" w:eastAsia="宋体" w:cs="宋体"/>
      <w:color w:val="FF0000"/>
      <w:sz w:val="21"/>
      <w:szCs w:val="21"/>
      <w:u w:val="single"/>
    </w:rPr>
  </w:style>
  <w:style w:type="character" w:customStyle="1" w:styleId="53">
    <w:name w:val="正文文本缩进 Char"/>
    <w:link w:val="18"/>
    <w:qFormat/>
    <w:uiPriority w:val="0"/>
    <w:rPr>
      <w:kern w:val="2"/>
      <w:sz w:val="32"/>
    </w:rPr>
  </w:style>
  <w:style w:type="character" w:customStyle="1" w:styleId="54">
    <w:name w:val="font111"/>
    <w:qFormat/>
    <w:uiPriority w:val="0"/>
    <w:rPr>
      <w:rFonts w:hint="default" w:ascii="Eʩ" w:hAnsi="Eʩ" w:eastAsia="Eʩ" w:cs="Eʩ"/>
      <w:color w:val="000000"/>
      <w:sz w:val="21"/>
      <w:szCs w:val="21"/>
      <w:u w:val="single"/>
    </w:rPr>
  </w:style>
  <w:style w:type="character" w:customStyle="1" w:styleId="55">
    <w:name w:val="批注框文本 Char"/>
    <w:link w:val="25"/>
    <w:qFormat/>
    <w:uiPriority w:val="0"/>
    <w:rPr>
      <w:kern w:val="2"/>
      <w:sz w:val="18"/>
      <w:szCs w:val="18"/>
    </w:rPr>
  </w:style>
  <w:style w:type="character" w:customStyle="1" w:styleId="56">
    <w:name w:val="批注主题 Char"/>
    <w:link w:val="12"/>
    <w:qFormat/>
    <w:uiPriority w:val="0"/>
    <w:rPr>
      <w:b/>
      <w:bCs/>
      <w:kern w:val="2"/>
      <w:sz w:val="21"/>
      <w:szCs w:val="24"/>
    </w:rPr>
  </w:style>
  <w:style w:type="character" w:customStyle="1" w:styleId="57">
    <w:name w:val="标题 1 Char"/>
    <w:link w:val="3"/>
    <w:qFormat/>
    <w:uiPriority w:val="0"/>
    <w:rPr>
      <w:rFonts w:ascii="Times New Roman" w:hAnsi="Times New Roman" w:eastAsia="宋体"/>
      <w:b/>
      <w:bCs/>
      <w:kern w:val="44"/>
      <w:sz w:val="44"/>
      <w:szCs w:val="44"/>
    </w:rPr>
  </w:style>
  <w:style w:type="character" w:customStyle="1" w:styleId="58">
    <w:name w:val="正文缩进 Char"/>
    <w:link w:val="15"/>
    <w:qFormat/>
    <w:uiPriority w:val="0"/>
    <w:rPr>
      <w:kern w:val="2"/>
      <w:sz w:val="21"/>
      <w:szCs w:val="24"/>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label"/>
    <w:qFormat/>
    <w:uiPriority w:val="0"/>
    <w:rPr>
      <w:color w:val="555555"/>
    </w:rPr>
  </w:style>
  <w:style w:type="character" w:customStyle="1" w:styleId="61">
    <w:name w:val="modifier"/>
    <w:qFormat/>
    <w:uiPriority w:val="0"/>
    <w:rPr>
      <w:color w:val="FF0000"/>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样式 首行缩进:  2 字符"/>
    <w:basedOn w:val="1"/>
    <w:qFormat/>
    <w:uiPriority w:val="99"/>
    <w:pPr>
      <w:spacing w:line="400" w:lineRule="exact"/>
      <w:ind w:firstLine="200" w:firstLineChars="200"/>
    </w:pPr>
    <w:rPr>
      <w:rFonts w:cs="宋体"/>
      <w:sz w:val="24"/>
    </w:rPr>
  </w:style>
  <w:style w:type="paragraph" w:styleId="64">
    <w:name w:val="List Paragraph"/>
    <w:basedOn w:val="1"/>
    <w:link w:val="74"/>
    <w:qFormat/>
    <w:uiPriority w:val="0"/>
    <w:pPr>
      <w:spacing w:line="360" w:lineRule="auto"/>
      <w:jc w:val="left"/>
    </w:pPr>
    <w:rPr>
      <w:rFonts w:ascii="宋体" w:hAnsi="宋体"/>
      <w:sz w:val="24"/>
    </w:rPr>
  </w:style>
  <w:style w:type="paragraph" w:customStyle="1" w:styleId="6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6">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7">
    <w:name w:val="_Style 2"/>
    <w:basedOn w:val="1"/>
    <w:qFormat/>
    <w:uiPriority w:val="0"/>
    <w:pPr>
      <w:ind w:firstLine="420" w:firstLineChars="200"/>
    </w:pPr>
    <w:rPr>
      <w:sz w:val="18"/>
      <w:szCs w:val="18"/>
    </w:rPr>
  </w:style>
  <w:style w:type="paragraph" w:customStyle="1" w:styleId="68">
    <w:name w:val="样式2"/>
    <w:basedOn w:val="1"/>
    <w:qFormat/>
    <w:uiPriority w:val="0"/>
    <w:pPr>
      <w:spacing w:line="560" w:lineRule="exact"/>
      <w:ind w:firstLine="200" w:firstLineChars="200"/>
      <w:jc w:val="left"/>
    </w:pPr>
    <w:rPr>
      <w:rFonts w:eastAsia="仿宋_GB2312"/>
      <w:sz w:val="28"/>
      <w:szCs w:val="20"/>
    </w:rPr>
  </w:style>
  <w:style w:type="paragraph" w:customStyle="1" w:styleId="69">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70">
    <w:name w:val="页脚 Char"/>
    <w:link w:val="26"/>
    <w:qFormat/>
    <w:uiPriority w:val="99"/>
    <w:rPr>
      <w:kern w:val="2"/>
      <w:sz w:val="18"/>
    </w:rPr>
  </w:style>
  <w:style w:type="paragraph" w:customStyle="1" w:styleId="71">
    <w:name w:val="msolistparagraph"/>
    <w:basedOn w:val="1"/>
    <w:qFormat/>
    <w:uiPriority w:val="0"/>
    <w:pPr>
      <w:ind w:firstLine="420" w:firstLineChars="200"/>
    </w:pPr>
    <w:rPr>
      <w:szCs w:val="22"/>
    </w:rPr>
  </w:style>
  <w:style w:type="character" w:customStyle="1" w:styleId="72">
    <w:name w:val="纯文本 Char"/>
    <w:basedOn w:val="36"/>
    <w:link w:val="22"/>
    <w:qFormat/>
    <w:uiPriority w:val="0"/>
    <w:rPr>
      <w:rFonts w:ascii="宋体" w:hAnsi="Courier New"/>
      <w:kern w:val="2"/>
      <w:sz w:val="21"/>
      <w:szCs w:val="24"/>
    </w:rPr>
  </w:style>
  <w:style w:type="character" w:customStyle="1" w:styleId="73">
    <w:name w:val="正文缩进 Char1"/>
    <w:qFormat/>
    <w:uiPriority w:val="0"/>
    <w:rPr>
      <w:kern w:val="2"/>
      <w:sz w:val="21"/>
      <w:szCs w:val="24"/>
    </w:rPr>
  </w:style>
  <w:style w:type="character" w:customStyle="1" w:styleId="74">
    <w:name w:val="列出段落 Char"/>
    <w:link w:val="64"/>
    <w:qFormat/>
    <w:locked/>
    <w:uiPriority w:val="99"/>
    <w:rPr>
      <w:rFonts w:ascii="宋体" w:hAnsi="宋体"/>
      <w:kern w:val="2"/>
      <w:sz w:val="24"/>
      <w:szCs w:val="24"/>
    </w:rPr>
  </w:style>
  <w:style w:type="paragraph" w:customStyle="1" w:styleId="75">
    <w:name w:val="Plain Text1"/>
    <w:basedOn w:val="1"/>
    <w:qFormat/>
    <w:uiPriority w:val="99"/>
    <w:pPr>
      <w:adjustRightInd w:val="0"/>
      <w:jc w:val="left"/>
      <w:textAlignment w:val="baseline"/>
    </w:pPr>
    <w:rPr>
      <w:rFonts w:ascii="宋体" w:hAnsi="Courier New" w:cs="宋体"/>
      <w:sz w:val="24"/>
    </w:rPr>
  </w:style>
  <w:style w:type="character" w:customStyle="1" w:styleId="76">
    <w:name w:val="标题 4 Char"/>
    <w:basedOn w:val="36"/>
    <w:link w:val="6"/>
    <w:qFormat/>
    <w:uiPriority w:val="0"/>
    <w:rPr>
      <w:rFonts w:asciiTheme="majorHAnsi" w:hAnsiTheme="majorHAnsi" w:eastAsiaTheme="majorEastAsia" w:cstheme="majorBidi"/>
      <w:b/>
      <w:bCs/>
      <w:kern w:val="2"/>
      <w:sz w:val="28"/>
      <w:szCs w:val="28"/>
    </w:rPr>
  </w:style>
  <w:style w:type="character" w:customStyle="1" w:styleId="77">
    <w:name w:val="标题 5 Char"/>
    <w:basedOn w:val="36"/>
    <w:link w:val="7"/>
    <w:qFormat/>
    <w:uiPriority w:val="0"/>
    <w:rPr>
      <w:rFonts w:ascii="Calibri" w:hAnsi="Calibri"/>
      <w:b/>
      <w:bCs/>
      <w:kern w:val="2"/>
      <w:sz w:val="28"/>
      <w:szCs w:val="28"/>
    </w:rPr>
  </w:style>
  <w:style w:type="character" w:customStyle="1" w:styleId="78">
    <w:name w:val="标题 6 Char"/>
    <w:basedOn w:val="36"/>
    <w:link w:val="8"/>
    <w:qFormat/>
    <w:uiPriority w:val="0"/>
    <w:rPr>
      <w:rFonts w:ascii="Cambria" w:hAnsi="Cambria"/>
      <w:b/>
      <w:bCs/>
      <w:kern w:val="2"/>
      <w:sz w:val="24"/>
      <w:szCs w:val="24"/>
    </w:rPr>
  </w:style>
  <w:style w:type="character" w:customStyle="1" w:styleId="79">
    <w:name w:val="标题 7 Char"/>
    <w:basedOn w:val="36"/>
    <w:link w:val="9"/>
    <w:qFormat/>
    <w:uiPriority w:val="0"/>
    <w:rPr>
      <w:rFonts w:ascii="Calibri" w:hAnsi="Calibri"/>
      <w:b/>
      <w:bCs/>
      <w:kern w:val="2"/>
      <w:sz w:val="24"/>
      <w:szCs w:val="24"/>
    </w:rPr>
  </w:style>
  <w:style w:type="character" w:customStyle="1" w:styleId="80">
    <w:name w:val="标题 8 Char"/>
    <w:basedOn w:val="36"/>
    <w:link w:val="10"/>
    <w:qFormat/>
    <w:uiPriority w:val="0"/>
    <w:rPr>
      <w:rFonts w:ascii="Cambria" w:hAnsi="Cambria"/>
      <w:kern w:val="2"/>
      <w:sz w:val="24"/>
      <w:szCs w:val="24"/>
    </w:rPr>
  </w:style>
  <w:style w:type="character" w:customStyle="1" w:styleId="81">
    <w:name w:val="标题 9 Char"/>
    <w:basedOn w:val="36"/>
    <w:link w:val="11"/>
    <w:qFormat/>
    <w:uiPriority w:val="0"/>
    <w:rPr>
      <w:rFonts w:ascii="Cambria" w:hAnsi="Cambria"/>
      <w:kern w:val="2"/>
      <w:sz w:val="21"/>
      <w:szCs w:val="21"/>
    </w:rPr>
  </w:style>
  <w:style w:type="character" w:customStyle="1" w:styleId="82">
    <w:name w:val="正文文本 Char1"/>
    <w:qFormat/>
    <w:uiPriority w:val="0"/>
    <w:rPr>
      <w:kern w:val="2"/>
      <w:sz w:val="21"/>
      <w:szCs w:val="22"/>
    </w:rPr>
  </w:style>
  <w:style w:type="character" w:customStyle="1" w:styleId="83">
    <w:name w:val="明显引用 Char"/>
    <w:link w:val="84"/>
    <w:qFormat/>
    <w:uiPriority w:val="0"/>
    <w:rPr>
      <w:b/>
      <w:bCs/>
      <w:i/>
      <w:iCs/>
      <w:color w:val="4F81BD"/>
      <w:kern w:val="2"/>
      <w:sz w:val="21"/>
      <w:szCs w:val="22"/>
    </w:rPr>
  </w:style>
  <w:style w:type="paragraph" w:styleId="84">
    <w:name w:val="Intense Quote"/>
    <w:basedOn w:val="1"/>
    <w:next w:val="1"/>
    <w:link w:val="83"/>
    <w:qFormat/>
    <w:uiPriority w:val="0"/>
    <w:pPr>
      <w:pBdr>
        <w:bottom w:val="single" w:color="4F81BD" w:sz="4" w:space="4"/>
      </w:pBdr>
      <w:spacing w:before="200" w:after="280"/>
      <w:ind w:left="936" w:right="936"/>
    </w:pPr>
    <w:rPr>
      <w:b/>
      <w:bCs/>
      <w:i/>
      <w:iCs/>
      <w:color w:val="4F81BD"/>
      <w:szCs w:val="22"/>
    </w:rPr>
  </w:style>
  <w:style w:type="character" w:customStyle="1" w:styleId="85">
    <w:name w:val="Subtle Emphasis"/>
    <w:qFormat/>
    <w:uiPriority w:val="0"/>
    <w:rPr>
      <w:i/>
      <w:iCs/>
      <w:color w:val="808080"/>
    </w:rPr>
  </w:style>
  <w:style w:type="character" w:customStyle="1" w:styleId="86">
    <w:name w:val="标题4 Char Char"/>
    <w:qFormat/>
    <w:uiPriority w:val="0"/>
    <w:rPr>
      <w:rFonts w:ascii="Arial" w:hAnsi="Arial"/>
      <w:b/>
      <w:bCs/>
      <w:sz w:val="24"/>
      <w:szCs w:val="32"/>
    </w:rPr>
  </w:style>
  <w:style w:type="character" w:customStyle="1" w:styleId="87">
    <w:name w:val="标题5 Char Char"/>
    <w:link w:val="88"/>
    <w:qFormat/>
    <w:uiPriority w:val="0"/>
    <w:rPr>
      <w:rFonts w:ascii="Arial" w:hAnsi="Arial"/>
      <w:b/>
      <w:bCs/>
      <w:sz w:val="24"/>
      <w:szCs w:val="32"/>
    </w:rPr>
  </w:style>
  <w:style w:type="paragraph" w:customStyle="1" w:styleId="88">
    <w:name w:val="标题5"/>
    <w:basedOn w:val="5"/>
    <w:link w:val="87"/>
    <w:qFormat/>
    <w:uiPriority w:val="0"/>
    <w:pPr>
      <w:spacing w:line="413" w:lineRule="auto"/>
    </w:pPr>
    <w:rPr>
      <w:rFonts w:ascii="Arial" w:hAnsi="Arial"/>
      <w:kern w:val="0"/>
      <w:sz w:val="24"/>
    </w:rPr>
  </w:style>
  <w:style w:type="character" w:customStyle="1" w:styleId="89">
    <w:name w:val="日期 Char"/>
    <w:link w:val="24"/>
    <w:qFormat/>
    <w:uiPriority w:val="0"/>
    <w:rPr>
      <w:rFonts w:ascii="宋体"/>
      <w:sz w:val="28"/>
    </w:rPr>
  </w:style>
  <w:style w:type="character" w:customStyle="1" w:styleId="90">
    <w:name w:val="Intense Reference"/>
    <w:qFormat/>
    <w:uiPriority w:val="0"/>
    <w:rPr>
      <w:b/>
      <w:bCs/>
      <w:smallCaps/>
      <w:color w:val="C0504D"/>
      <w:spacing w:val="5"/>
      <w:u w:val="single"/>
    </w:rPr>
  </w:style>
  <w:style w:type="character" w:customStyle="1" w:styleId="91">
    <w:name w:val="Book Title"/>
    <w:qFormat/>
    <w:uiPriority w:val="0"/>
    <w:rPr>
      <w:b/>
      <w:bCs/>
      <w:smallCaps/>
      <w:spacing w:val="5"/>
    </w:rPr>
  </w:style>
  <w:style w:type="character" w:customStyle="1" w:styleId="92">
    <w:name w:val="页眉 Char"/>
    <w:link w:val="27"/>
    <w:qFormat/>
    <w:uiPriority w:val="0"/>
    <w:rPr>
      <w:kern w:val="2"/>
      <w:sz w:val="18"/>
    </w:rPr>
  </w:style>
  <w:style w:type="character" w:customStyle="1" w:styleId="93">
    <w:name w:val="批注框文本 Char1"/>
    <w:qFormat/>
    <w:uiPriority w:val="0"/>
    <w:rPr>
      <w:kern w:val="2"/>
      <w:sz w:val="18"/>
      <w:szCs w:val="18"/>
    </w:rPr>
  </w:style>
  <w:style w:type="character" w:customStyle="1" w:styleId="94">
    <w:name w:val="引用 Char"/>
    <w:link w:val="95"/>
    <w:qFormat/>
    <w:uiPriority w:val="0"/>
    <w:rPr>
      <w:i/>
      <w:iCs/>
      <w:color w:val="000000"/>
      <w:kern w:val="2"/>
      <w:sz w:val="21"/>
      <w:szCs w:val="22"/>
    </w:rPr>
  </w:style>
  <w:style w:type="paragraph" w:styleId="95">
    <w:name w:val="Quote"/>
    <w:basedOn w:val="1"/>
    <w:next w:val="1"/>
    <w:link w:val="94"/>
    <w:qFormat/>
    <w:uiPriority w:val="0"/>
    <w:rPr>
      <w:i/>
      <w:iCs/>
      <w:color w:val="000000"/>
      <w:szCs w:val="22"/>
    </w:rPr>
  </w:style>
  <w:style w:type="character" w:customStyle="1" w:styleId="96">
    <w:name w:val="批注主题 Char1"/>
    <w:qFormat/>
    <w:uiPriority w:val="0"/>
    <w:rPr>
      <w:b/>
      <w:bCs/>
      <w:kern w:val="2"/>
      <w:sz w:val="21"/>
      <w:szCs w:val="22"/>
    </w:rPr>
  </w:style>
  <w:style w:type="character" w:customStyle="1" w:styleId="97">
    <w:name w:val="正文文本 Char"/>
    <w:link w:val="2"/>
    <w:qFormat/>
    <w:uiPriority w:val="0"/>
    <w:rPr>
      <w:kern w:val="2"/>
      <w:sz w:val="21"/>
      <w:szCs w:val="24"/>
    </w:rPr>
  </w:style>
  <w:style w:type="character" w:customStyle="1" w:styleId="98">
    <w:name w:val="日期 Char1"/>
    <w:qFormat/>
    <w:uiPriority w:val="0"/>
    <w:rPr>
      <w:kern w:val="2"/>
      <w:sz w:val="21"/>
      <w:szCs w:val="22"/>
    </w:rPr>
  </w:style>
  <w:style w:type="character" w:customStyle="1" w:styleId="99">
    <w:name w:val="Intense Emphasis"/>
    <w:qFormat/>
    <w:uiPriority w:val="0"/>
    <w:rPr>
      <w:b/>
      <w:bCs/>
      <w:i/>
      <w:iCs/>
      <w:color w:val="4F81BD"/>
    </w:rPr>
  </w:style>
  <w:style w:type="character" w:customStyle="1" w:styleId="100">
    <w:name w:val="textcontents"/>
    <w:qFormat/>
    <w:uiPriority w:val="0"/>
    <w:rPr>
      <w:rFonts w:cs="Times New Roman"/>
    </w:rPr>
  </w:style>
  <w:style w:type="character" w:customStyle="1" w:styleId="101">
    <w:name w:val="Subtle Reference"/>
    <w:qFormat/>
    <w:uiPriority w:val="0"/>
    <w:rPr>
      <w:smallCaps/>
      <w:color w:val="C0504D"/>
      <w:u w:val="single"/>
    </w:rPr>
  </w:style>
  <w:style w:type="character" w:customStyle="1" w:styleId="102">
    <w:name w:val="批注文字 Char Char"/>
    <w:qFormat/>
    <w:uiPriority w:val="0"/>
    <w:rPr>
      <w:rFonts w:ascii="宋体" w:hAnsi="Times New Roman" w:eastAsia="宋体" w:cs="Times New Roman"/>
      <w:sz w:val="28"/>
      <w:szCs w:val="20"/>
    </w:rPr>
  </w:style>
  <w:style w:type="character" w:customStyle="1" w:styleId="103">
    <w:name w:val="标题 2 Char"/>
    <w:link w:val="4"/>
    <w:qFormat/>
    <w:uiPriority w:val="0"/>
    <w:rPr>
      <w:rFonts w:ascii="Arial" w:hAnsi="Arial" w:eastAsia="黑体"/>
      <w:b/>
      <w:bCs/>
      <w:kern w:val="2"/>
      <w:sz w:val="32"/>
      <w:szCs w:val="32"/>
    </w:rPr>
  </w:style>
  <w:style w:type="character" w:customStyle="1" w:styleId="104">
    <w:name w:val="标题 3 Char"/>
    <w:link w:val="5"/>
    <w:qFormat/>
    <w:uiPriority w:val="0"/>
    <w:rPr>
      <w:b/>
      <w:bCs/>
      <w:kern w:val="2"/>
      <w:sz w:val="32"/>
      <w:szCs w:val="32"/>
    </w:rPr>
  </w:style>
  <w:style w:type="character" w:customStyle="1" w:styleId="105">
    <w:name w:val="标题 Char"/>
    <w:link w:val="35"/>
    <w:qFormat/>
    <w:uiPriority w:val="0"/>
    <w:rPr>
      <w:rFonts w:ascii="Cambria" w:hAnsi="Cambria"/>
      <w:b/>
      <w:bCs/>
      <w:kern w:val="2"/>
      <w:sz w:val="32"/>
      <w:szCs w:val="32"/>
    </w:rPr>
  </w:style>
  <w:style w:type="character" w:customStyle="1" w:styleId="106">
    <w:name w:val="副标题 Char"/>
    <w:link w:val="30"/>
    <w:qFormat/>
    <w:uiPriority w:val="0"/>
    <w:rPr>
      <w:rFonts w:ascii="Cambria" w:hAnsi="Cambria"/>
      <w:b/>
      <w:bCs/>
      <w:kern w:val="28"/>
      <w:sz w:val="32"/>
      <w:szCs w:val="32"/>
    </w:rPr>
  </w:style>
  <w:style w:type="character" w:customStyle="1" w:styleId="107">
    <w:name w:val="文档结构图 Char1"/>
    <w:qFormat/>
    <w:uiPriority w:val="0"/>
    <w:rPr>
      <w:rFonts w:ascii="宋体"/>
      <w:kern w:val="2"/>
      <w:sz w:val="18"/>
      <w:szCs w:val="18"/>
    </w:rPr>
  </w:style>
  <w:style w:type="paragraph" w:customStyle="1" w:styleId="108">
    <w:name w:val="Revision"/>
    <w:qFormat/>
    <w:uiPriority w:val="0"/>
    <w:rPr>
      <w:rFonts w:ascii="Times New Roman" w:hAnsi="Times New Roman" w:eastAsia="宋体" w:cs="Times New Roman"/>
      <w:kern w:val="2"/>
      <w:sz w:val="21"/>
      <w:szCs w:val="24"/>
      <w:lang w:val="en-US" w:eastAsia="zh-CN" w:bidi="ar-SA"/>
    </w:rPr>
  </w:style>
  <w:style w:type="paragraph" w:customStyle="1" w:styleId="10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10">
    <w:name w:val="日期 Char2"/>
    <w:basedOn w:val="36"/>
    <w:qFormat/>
    <w:uiPriority w:val="0"/>
    <w:rPr>
      <w:kern w:val="2"/>
      <w:sz w:val="21"/>
      <w:szCs w:val="24"/>
    </w:rPr>
  </w:style>
  <w:style w:type="character" w:customStyle="1" w:styleId="111">
    <w:name w:val="标题 Char1"/>
    <w:basedOn w:val="36"/>
    <w:qFormat/>
    <w:uiPriority w:val="0"/>
    <w:rPr>
      <w:rFonts w:asciiTheme="majorHAnsi" w:hAnsiTheme="majorHAnsi" w:cstheme="majorBidi"/>
      <w:b/>
      <w:bCs/>
      <w:kern w:val="2"/>
      <w:sz w:val="32"/>
      <w:szCs w:val="32"/>
    </w:rPr>
  </w:style>
  <w:style w:type="paragraph" w:customStyle="1" w:styleId="112">
    <w:name w:val="TOC Heading"/>
    <w:basedOn w:val="3"/>
    <w:next w:val="1"/>
    <w:qFormat/>
    <w:uiPriority w:val="0"/>
    <w:pPr>
      <w:spacing w:before="340" w:after="330" w:line="576" w:lineRule="auto"/>
      <w:outlineLvl w:val="9"/>
    </w:pPr>
    <w:rPr>
      <w:rFonts w:ascii="Calibri" w:hAnsi="Calibri"/>
    </w:rPr>
  </w:style>
  <w:style w:type="character" w:customStyle="1" w:styleId="113">
    <w:name w:val="副标题 Char1"/>
    <w:basedOn w:val="36"/>
    <w:qFormat/>
    <w:uiPriority w:val="0"/>
    <w:rPr>
      <w:rFonts w:asciiTheme="majorHAnsi" w:hAnsiTheme="majorHAnsi" w:cstheme="majorBidi"/>
      <w:b/>
      <w:bCs/>
      <w:kern w:val="28"/>
      <w:sz w:val="32"/>
      <w:szCs w:val="32"/>
    </w:rPr>
  </w:style>
  <w:style w:type="character" w:customStyle="1" w:styleId="114">
    <w:name w:val="明显引用 Char1"/>
    <w:basedOn w:val="36"/>
    <w:semiHidden/>
    <w:qFormat/>
    <w:uiPriority w:val="99"/>
    <w:rPr>
      <w:b/>
      <w:bCs/>
      <w:i/>
      <w:iCs/>
      <w:color w:val="4472C4" w:themeColor="accent1"/>
      <w:kern w:val="2"/>
      <w:sz w:val="21"/>
      <w:szCs w:val="24"/>
      <w14:textFill>
        <w14:solidFill>
          <w14:schemeClr w14:val="accent1"/>
        </w14:solidFill>
      </w14:textFill>
    </w:rPr>
  </w:style>
  <w:style w:type="paragraph" w:customStyle="1" w:styleId="1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引用 Char1"/>
    <w:basedOn w:val="36"/>
    <w:semiHidden/>
    <w:qFormat/>
    <w:uiPriority w:val="99"/>
    <w:rPr>
      <w:i/>
      <w:iCs/>
      <w:color w:val="000000" w:themeColor="text1"/>
      <w:kern w:val="2"/>
      <w:sz w:val="21"/>
      <w:szCs w:val="24"/>
      <w14:textFill>
        <w14:solidFill>
          <w14:schemeClr w14:val="tx1"/>
        </w14:solidFill>
      </w14:textFill>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0">
    <w:name w:val="纯文本 Char1"/>
    <w:basedOn w:val="36"/>
    <w:qFormat/>
    <w:locked/>
    <w:uiPriority w:val="99"/>
    <w:rPr>
      <w:rFonts w:ascii="宋体" w:hAnsi="Courier New" w:eastAsia="宋体" w:cs="宋体"/>
      <w:sz w:val="21"/>
      <w:szCs w:val="21"/>
    </w:rPr>
  </w:style>
  <w:style w:type="paragraph" w:customStyle="1" w:styleId="121">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87652-4CC8-47E7-8B0B-66EB74715091}">
  <ds:schemaRefs/>
</ds:datastoreItem>
</file>

<file path=docProps/app.xml><?xml version="1.0" encoding="utf-8"?>
<Properties xmlns="http://schemas.openxmlformats.org/officeDocument/2006/extended-properties" xmlns:vt="http://schemas.openxmlformats.org/officeDocument/2006/docPropsVTypes">
  <Template>Normal</Template>
  <Pages>1</Pages>
  <Words>4971</Words>
  <Characters>28341</Characters>
  <Lines>236</Lines>
  <Paragraphs>66</Paragraphs>
  <TotalTime>18</TotalTime>
  <ScaleCrop>false</ScaleCrop>
  <LinksUpToDate>false</LinksUpToDate>
  <CharactersWithSpaces>33246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杨玲</cp:lastModifiedBy>
  <cp:lastPrinted>2018-05-10T07:30:00Z</cp:lastPrinted>
  <dcterms:modified xsi:type="dcterms:W3CDTF">2023-09-26T02:22:51Z</dcterms:modified>
  <dc:title>成都一问范本</dc:title>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1C04DF5A03BE402DB3305180B3761537</vt:lpwstr>
  </property>
</Properties>
</file>