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b w:val="0"/>
          <w:bCs w:val="0"/>
          <w:strike w:val="0"/>
          <w:dstrike w:val="0"/>
          <w:color w:val="auto"/>
          <w:sz w:val="48"/>
          <w:szCs w:val="48"/>
          <w:lang w:val="en-US" w:eastAsia="zh-CN"/>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pPr>
      <w:r>
        <w:rPr>
          <w:rFonts w:hint="eastAsia" w:ascii="黑体" w:hAnsi="宋体" w:eastAsia="黑体" w:cs="黑体"/>
          <w:color w:val="000000"/>
          <w:kern w:val="0"/>
          <w:sz w:val="52"/>
          <w:szCs w:val="52"/>
          <w:lang w:val="en-US" w:eastAsia="zh-CN" w:bidi="ar"/>
        </w:rPr>
        <w:t>生产建设项目</w:t>
      </w:r>
      <w:r>
        <w:rPr>
          <w:rFonts w:ascii="黑体" w:hAnsi="宋体" w:eastAsia="黑体" w:cs="黑体"/>
          <w:color w:val="000000"/>
          <w:kern w:val="0"/>
          <w:sz w:val="52"/>
          <w:szCs w:val="52"/>
          <w:lang w:val="en-US" w:eastAsia="zh-CN" w:bidi="ar"/>
        </w:rPr>
        <w:t>水土保持</w:t>
      </w:r>
      <w:r>
        <w:rPr>
          <w:rFonts w:hint="eastAsia" w:ascii="黑体" w:hAnsi="宋体" w:eastAsia="黑体" w:cs="黑体"/>
          <w:color w:val="000000"/>
          <w:kern w:val="0"/>
          <w:sz w:val="52"/>
          <w:szCs w:val="52"/>
          <w:lang w:val="en-US" w:eastAsia="zh-CN" w:bidi="ar"/>
        </w:rPr>
        <w:t>设施</w:t>
      </w:r>
    </w:p>
    <w:p>
      <w:pPr>
        <w:keepNext w:val="0"/>
        <w:keepLines w:val="0"/>
        <w:widowControl/>
        <w:suppressLineNumbers w:val="0"/>
        <w:jc w:val="left"/>
        <w:rPr>
          <w:rFonts w:ascii="楷体_GB2312" w:hAnsi="宋体" w:eastAsia="楷体_GB2312" w:cs="楷体_GB2312"/>
          <w:color w:val="000000"/>
          <w:kern w:val="0"/>
          <w:sz w:val="84"/>
          <w:szCs w:val="84"/>
          <w:lang w:val="en-US" w:eastAsia="zh-CN" w:bidi="ar"/>
        </w:rPr>
      </w:pPr>
    </w:p>
    <w:p>
      <w:pPr>
        <w:keepNext w:val="0"/>
        <w:keepLines w:val="0"/>
        <w:widowControl/>
        <w:suppressLineNumbers w:val="0"/>
        <w:jc w:val="center"/>
      </w:pPr>
      <w:r>
        <w:rPr>
          <w:rFonts w:ascii="楷体_GB2312" w:hAnsi="宋体" w:eastAsia="楷体_GB2312" w:cs="楷体_GB2312"/>
          <w:color w:val="000000"/>
          <w:kern w:val="0"/>
          <w:sz w:val="84"/>
          <w:szCs w:val="84"/>
          <w:lang w:val="en-US" w:eastAsia="zh-CN" w:bidi="ar"/>
        </w:rPr>
        <w:t>验收鉴定书</w:t>
      </w: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pPr>
        <w:keepNext w:val="0"/>
        <w:keepLines w:val="0"/>
        <w:widowControl/>
        <w:suppressLineNumbers w:val="0"/>
        <w:jc w:val="left"/>
        <w:rPr>
          <w:rFonts w:hint="default"/>
          <w:lang w:val="en-US"/>
        </w:rPr>
      </w:pPr>
      <w:r>
        <w:rPr>
          <w:rFonts w:hint="eastAsia" w:ascii="黑体" w:hAnsi="宋体" w:eastAsia="黑体" w:cs="黑体"/>
          <w:color w:val="000000"/>
          <w:kern w:val="0"/>
          <w:sz w:val="28"/>
          <w:szCs w:val="28"/>
          <w:lang w:val="en-US" w:eastAsia="zh-CN" w:bidi="ar"/>
        </w:rPr>
        <w:t xml:space="preserve">项 目 名 称 </w:t>
      </w:r>
      <w:r>
        <w:rPr>
          <w:rFonts w:hint="eastAsia" w:ascii="黑体" w:hAnsi="宋体" w:eastAsia="黑体" w:cs="黑体"/>
          <w:color w:val="000000"/>
          <w:kern w:val="0"/>
          <w:sz w:val="28"/>
          <w:szCs w:val="28"/>
          <w:u w:val="single"/>
          <w:lang w:val="en-US" w:eastAsia="zh-CN" w:bidi="ar"/>
        </w:rPr>
        <w:t>都江堰灌区续建配套与节水改造量测水设施建设工程</w:t>
      </w:r>
    </w:p>
    <w:p>
      <w:pPr>
        <w:keepNext w:val="0"/>
        <w:keepLines w:val="0"/>
        <w:widowControl/>
        <w:suppressLineNumbers w:val="0"/>
        <w:jc w:val="left"/>
        <w:rPr>
          <w:rFonts w:hint="default"/>
          <w:lang w:val="en-US"/>
        </w:rPr>
      </w:pPr>
      <w:r>
        <w:rPr>
          <w:rFonts w:hint="eastAsia" w:ascii="黑体" w:hAnsi="宋体" w:eastAsia="黑体" w:cs="黑体"/>
          <w:color w:val="000000"/>
          <w:kern w:val="0"/>
          <w:sz w:val="28"/>
          <w:szCs w:val="28"/>
          <w:lang w:val="en-US" w:eastAsia="zh-CN" w:bidi="ar"/>
        </w:rPr>
        <w:t>项 目 编 号</w:t>
      </w:r>
      <w:r>
        <w:rPr>
          <w:rFonts w:hint="default" w:ascii="Times New Roman" w:hAnsi="Times New Roman" w:eastAsia="宋体" w:cs="Times New Roman"/>
          <w:color w:val="000000"/>
          <w:kern w:val="0"/>
          <w:sz w:val="28"/>
          <w:szCs w:val="28"/>
          <w:lang w:val="en-US" w:eastAsia="zh-CN" w:bidi="ar"/>
        </w:rPr>
        <w:t xml:space="preserve"> </w:t>
      </w:r>
      <w:r>
        <w:rPr>
          <w:rFonts w:hint="eastAsia" w:ascii="黑体" w:hAnsi="宋体" w:eastAsia="黑体" w:cs="黑体"/>
          <w:color w:val="000000"/>
          <w:kern w:val="0"/>
          <w:sz w:val="28"/>
          <w:szCs w:val="28"/>
          <w:u w:val="single"/>
          <w:lang w:val="en-US" w:eastAsia="zh-CN" w:bidi="ar"/>
        </w:rPr>
        <w:t>川发改农经[2019]516号</w:t>
      </w:r>
    </w:p>
    <w:p>
      <w:pPr>
        <w:keepNext w:val="0"/>
        <w:keepLines w:val="0"/>
        <w:widowControl/>
        <w:suppressLineNumbers w:val="0"/>
        <w:ind w:left="1680" w:hanging="1680" w:hangingChars="600"/>
        <w:jc w:val="left"/>
        <w:rPr>
          <w:rFonts w:hint="eastAsia" w:ascii="黑体" w:hAnsi="宋体" w:eastAsia="黑体" w:cs="黑体"/>
          <w:color w:val="000000"/>
          <w:kern w:val="0"/>
          <w:sz w:val="28"/>
          <w:szCs w:val="28"/>
          <w:u w:val="single"/>
          <w:lang w:val="en-US" w:eastAsia="zh-CN" w:bidi="ar"/>
        </w:rPr>
      </w:pPr>
      <w:r>
        <w:rPr>
          <w:rFonts w:hint="eastAsia" w:ascii="黑体" w:hAnsi="宋体" w:eastAsia="黑体" w:cs="黑体"/>
          <w:color w:val="000000"/>
          <w:kern w:val="0"/>
          <w:sz w:val="28"/>
          <w:szCs w:val="28"/>
          <w:lang w:val="en-US" w:eastAsia="zh-CN" w:bidi="ar"/>
        </w:rPr>
        <w:t>建 设 地 点</w:t>
      </w:r>
      <w:r>
        <w:rPr>
          <w:rFonts w:hint="default" w:ascii="Times New Roman" w:hAnsi="Times New Roman" w:eastAsia="宋体" w:cs="Times New Roman"/>
          <w:color w:val="000000"/>
          <w:kern w:val="0"/>
          <w:sz w:val="28"/>
          <w:szCs w:val="28"/>
          <w:lang w:val="en-US" w:eastAsia="zh-CN" w:bidi="ar"/>
        </w:rPr>
        <w:t xml:space="preserve"> </w:t>
      </w:r>
      <w:r>
        <w:rPr>
          <w:rFonts w:hint="eastAsia" w:ascii="黑体" w:hAnsi="宋体" w:eastAsia="黑体" w:cs="黑体"/>
          <w:color w:val="000000"/>
          <w:kern w:val="0"/>
          <w:sz w:val="28"/>
          <w:szCs w:val="28"/>
          <w:u w:val="single"/>
          <w:lang w:val="en-US" w:eastAsia="zh-CN" w:bidi="ar"/>
        </w:rPr>
        <w:t>成都市、德阳市、绵阳市、遂宁市、眉山市、资阳市、乐山市</w:t>
      </w:r>
    </w:p>
    <w:p>
      <w:pPr>
        <w:keepNext w:val="0"/>
        <w:keepLines w:val="0"/>
        <w:widowControl/>
        <w:suppressLineNumbers w:val="0"/>
        <w:jc w:val="left"/>
        <w:rPr>
          <w:rFonts w:hint="eastAsia" w:ascii="黑体" w:hAnsi="宋体" w:eastAsia="黑体" w:cs="黑体"/>
          <w:color w:val="000000"/>
          <w:kern w:val="0"/>
          <w:sz w:val="28"/>
          <w:szCs w:val="28"/>
          <w:u w:val="single"/>
          <w:lang w:val="en-US" w:eastAsia="zh-CN" w:bidi="ar"/>
        </w:rPr>
      </w:pPr>
      <w:r>
        <w:rPr>
          <w:rFonts w:hint="eastAsia" w:ascii="黑体" w:hAnsi="宋体" w:eastAsia="黑体" w:cs="黑体"/>
          <w:color w:val="000000"/>
          <w:kern w:val="0"/>
          <w:sz w:val="28"/>
          <w:szCs w:val="28"/>
          <w:lang w:val="en-US" w:eastAsia="zh-CN" w:bidi="ar"/>
        </w:rPr>
        <w:t>验 收</w:t>
      </w:r>
      <w:r>
        <w:rPr>
          <w:rFonts w:hint="default" w:ascii="Times New Roman" w:hAnsi="Times New Roman" w:eastAsia="宋体" w:cs="Times New Roman"/>
          <w:color w:val="000000"/>
          <w:kern w:val="0"/>
          <w:sz w:val="18"/>
          <w:szCs w:val="18"/>
          <w:lang w:val="en-US" w:eastAsia="zh-CN" w:bidi="ar"/>
        </w:rPr>
        <w:t xml:space="preserve"> </w:t>
      </w:r>
      <w:r>
        <w:rPr>
          <w:rFonts w:hint="eastAsia" w:ascii="黑体" w:hAnsi="宋体" w:eastAsia="黑体" w:cs="黑体"/>
          <w:color w:val="000000"/>
          <w:kern w:val="0"/>
          <w:sz w:val="28"/>
          <w:szCs w:val="28"/>
          <w:lang w:val="en-US" w:eastAsia="zh-CN" w:bidi="ar"/>
        </w:rPr>
        <w:t>单</w:t>
      </w:r>
      <w:r>
        <w:rPr>
          <w:rFonts w:hint="default" w:ascii="Times New Roman" w:hAnsi="Times New Roman" w:eastAsia="宋体" w:cs="Times New Roman"/>
          <w:color w:val="000000"/>
          <w:kern w:val="0"/>
          <w:sz w:val="28"/>
          <w:szCs w:val="28"/>
          <w:lang w:val="en-US" w:eastAsia="zh-CN" w:bidi="ar"/>
        </w:rPr>
        <w:t xml:space="preserve"> </w:t>
      </w:r>
      <w:r>
        <w:rPr>
          <w:rFonts w:hint="eastAsia" w:ascii="黑体" w:hAnsi="宋体" w:eastAsia="黑体" w:cs="黑体"/>
          <w:color w:val="000000"/>
          <w:kern w:val="0"/>
          <w:sz w:val="28"/>
          <w:szCs w:val="28"/>
          <w:lang w:val="en-US" w:eastAsia="zh-CN" w:bidi="ar"/>
        </w:rPr>
        <w:t>位</w:t>
      </w:r>
      <w:r>
        <w:rPr>
          <w:rFonts w:hint="default" w:ascii="Times New Roman" w:hAnsi="Times New Roman" w:eastAsia="宋体" w:cs="Times New Roman"/>
          <w:color w:val="000000"/>
          <w:kern w:val="0"/>
          <w:sz w:val="28"/>
          <w:szCs w:val="28"/>
          <w:lang w:val="en-US" w:eastAsia="zh-CN" w:bidi="ar"/>
        </w:rPr>
        <w:t xml:space="preserve"> </w:t>
      </w:r>
      <w:r>
        <w:rPr>
          <w:rFonts w:hint="eastAsia" w:ascii="黑体" w:hAnsi="宋体" w:eastAsia="黑体" w:cs="黑体"/>
          <w:color w:val="000000"/>
          <w:kern w:val="0"/>
          <w:sz w:val="28"/>
          <w:szCs w:val="28"/>
          <w:u w:val="single"/>
          <w:lang w:val="en-US" w:eastAsia="zh-CN" w:bidi="ar"/>
        </w:rPr>
        <w:t>四川省都江堰水利发展中心</w:t>
      </w:r>
    </w:p>
    <w:p>
      <w:pPr>
        <w:keepNext w:val="0"/>
        <w:keepLines w:val="0"/>
        <w:widowControl/>
        <w:suppressLineNumbers w:val="0"/>
        <w:jc w:val="left"/>
        <w:rPr>
          <w:rFonts w:hint="eastAsia" w:ascii="黑体" w:hAnsi="宋体" w:eastAsia="黑体" w:cs="黑体"/>
          <w:color w:val="000000"/>
          <w:kern w:val="0"/>
          <w:sz w:val="28"/>
          <w:szCs w:val="28"/>
          <w:u w:val="single"/>
          <w:lang w:val="en-US" w:eastAsia="zh-CN" w:bidi="ar"/>
        </w:rPr>
      </w:pPr>
    </w:p>
    <w:p>
      <w:pPr>
        <w:keepNext w:val="0"/>
        <w:keepLines w:val="0"/>
        <w:widowControl/>
        <w:suppressLineNumbers w:val="0"/>
        <w:jc w:val="center"/>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2023</w:t>
      </w:r>
      <w:r>
        <w:rPr>
          <w:rFonts w:hint="default" w:ascii="黑体" w:hAnsi="宋体" w:eastAsia="黑体" w:cs="黑体"/>
          <w:color w:val="000000"/>
          <w:kern w:val="0"/>
          <w:sz w:val="28"/>
          <w:szCs w:val="28"/>
          <w:lang w:val="en-US" w:eastAsia="zh-CN" w:bidi="ar"/>
        </w:rPr>
        <w:t>年</w:t>
      </w:r>
      <w:r>
        <w:rPr>
          <w:rFonts w:hint="eastAsia" w:ascii="黑体" w:hAnsi="宋体" w:eastAsia="黑体" w:cs="黑体"/>
          <w:color w:val="000000"/>
          <w:kern w:val="0"/>
          <w:sz w:val="28"/>
          <w:szCs w:val="28"/>
          <w:lang w:val="en-US" w:eastAsia="zh-CN" w:bidi="ar"/>
        </w:rPr>
        <w:t>12</w:t>
      </w:r>
      <w:r>
        <w:rPr>
          <w:rFonts w:hint="default" w:ascii="黑体" w:hAnsi="宋体" w:eastAsia="黑体" w:cs="黑体"/>
          <w:color w:val="000000"/>
          <w:kern w:val="0"/>
          <w:sz w:val="28"/>
          <w:szCs w:val="28"/>
          <w:lang w:val="en-US" w:eastAsia="zh-CN" w:bidi="ar"/>
        </w:rPr>
        <w:t xml:space="preserve">月 </w:t>
      </w:r>
      <w:r>
        <w:rPr>
          <w:rFonts w:hint="eastAsia" w:ascii="黑体" w:hAnsi="宋体" w:eastAsia="黑体" w:cs="黑体"/>
          <w:color w:val="000000"/>
          <w:kern w:val="0"/>
          <w:sz w:val="28"/>
          <w:szCs w:val="28"/>
          <w:lang w:val="en-US" w:eastAsia="zh-CN" w:bidi="ar"/>
        </w:rPr>
        <w:t>28</w:t>
      </w:r>
      <w:r>
        <w:rPr>
          <w:rFonts w:hint="default" w:ascii="黑体" w:hAnsi="宋体" w:eastAsia="黑体" w:cs="黑体"/>
          <w:color w:val="000000"/>
          <w:kern w:val="0"/>
          <w:sz w:val="28"/>
          <w:szCs w:val="28"/>
          <w:lang w:val="en-US" w:eastAsia="zh-CN" w:bidi="ar"/>
        </w:rPr>
        <w:t>日</w:t>
      </w:r>
    </w:p>
    <w:p>
      <w:pPr>
        <w:keepNext w:val="0"/>
        <w:keepLines w:val="0"/>
        <w:widowControl/>
        <w:suppressLineNumbers w:val="0"/>
        <w:jc w:val="left"/>
        <w:rPr>
          <w:rFonts w:hint="eastAsia" w:ascii="黑体" w:hAnsi="宋体" w:eastAsia="黑体" w:cs="黑体"/>
          <w:color w:val="000000"/>
          <w:kern w:val="0"/>
          <w:sz w:val="30"/>
          <w:szCs w:val="30"/>
          <w:lang w:val="en-US" w:eastAsia="zh-CN" w:bidi="ar"/>
        </w:rPr>
      </w:pPr>
    </w:p>
    <w:p>
      <w:pPr>
        <w:keepNext w:val="0"/>
        <w:keepLines w:val="0"/>
        <w:widowControl/>
        <w:suppressLineNumbers w:val="0"/>
        <w:jc w:val="left"/>
        <w:rPr>
          <w:rFonts w:hint="eastAsia" w:ascii="黑体" w:hAnsi="宋体" w:eastAsia="黑体" w:cs="黑体"/>
          <w:color w:val="000000"/>
          <w:kern w:val="0"/>
          <w:sz w:val="30"/>
          <w:szCs w:val="30"/>
          <w:lang w:val="en-US" w:eastAsia="zh-CN" w:bidi="ar"/>
        </w:rPr>
      </w:pPr>
    </w:p>
    <w:p>
      <w:pPr>
        <w:keepNext w:val="0"/>
        <w:keepLines w:val="0"/>
        <w:widowControl/>
        <w:suppressLineNumbers w:val="0"/>
        <w:jc w:val="left"/>
        <w:rPr>
          <w:rFonts w:hint="eastAsia" w:ascii="黑体" w:hAnsi="宋体" w:eastAsia="黑体" w:cs="黑体"/>
          <w:color w:val="000000"/>
          <w:kern w:val="0"/>
          <w:sz w:val="30"/>
          <w:szCs w:val="30"/>
          <w:lang w:val="en-US" w:eastAsia="zh-CN" w:bidi="ar"/>
        </w:rPr>
      </w:pPr>
    </w:p>
    <w:p>
      <w:pPr>
        <w:keepNext w:val="0"/>
        <w:keepLines w:val="0"/>
        <w:widowControl/>
        <w:suppressLineNumbers w:val="0"/>
        <w:jc w:val="left"/>
        <w:rPr>
          <w:rFonts w:hint="eastAsia" w:ascii="黑体" w:hAnsi="宋体" w:eastAsia="黑体" w:cs="黑体"/>
          <w:color w:val="000000"/>
          <w:kern w:val="0"/>
          <w:sz w:val="30"/>
          <w:szCs w:val="30"/>
          <w:lang w:val="en-US" w:eastAsia="zh-CN" w:bidi="ar"/>
        </w:rPr>
      </w:pPr>
    </w:p>
    <w:p>
      <w:pPr>
        <w:keepNext w:val="0"/>
        <w:keepLines w:val="0"/>
        <w:widowControl/>
        <w:suppressLineNumbers w:val="0"/>
        <w:ind w:firstLine="600" w:firstLineChars="200"/>
        <w:jc w:val="left"/>
      </w:pPr>
      <w:r>
        <w:rPr>
          <w:rFonts w:hint="eastAsia" w:ascii="黑体" w:hAnsi="宋体" w:eastAsia="黑体" w:cs="黑体"/>
          <w:color w:val="000000"/>
          <w:kern w:val="0"/>
          <w:sz w:val="30"/>
          <w:szCs w:val="30"/>
          <w:lang w:val="en-US" w:eastAsia="zh-CN" w:bidi="ar"/>
        </w:rPr>
        <w:t xml:space="preserve">一、生产建设项目水土保持设施验收基本情况表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509"/>
        <w:gridCol w:w="124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项目名称</w:t>
            </w:r>
          </w:p>
        </w:tc>
        <w:tc>
          <w:tcPr>
            <w:tcW w:w="2509"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都江堰灌区续建配套与节水改造量测水设施建设工程</w:t>
            </w:r>
          </w:p>
        </w:tc>
        <w:tc>
          <w:tcPr>
            <w:tcW w:w="1241"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行业类别</w:t>
            </w:r>
          </w:p>
        </w:tc>
        <w:tc>
          <w:tcPr>
            <w:tcW w:w="1989"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主管部门</w:t>
            </w:r>
          </w:p>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（或主要投资方）</w:t>
            </w:r>
          </w:p>
        </w:tc>
        <w:tc>
          <w:tcPr>
            <w:tcW w:w="2509"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四川省水利厅</w:t>
            </w:r>
          </w:p>
        </w:tc>
        <w:tc>
          <w:tcPr>
            <w:tcW w:w="1241"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项目性质</w:t>
            </w:r>
          </w:p>
        </w:tc>
        <w:tc>
          <w:tcPr>
            <w:tcW w:w="1989" w:type="dxa"/>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量测水设施建设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水土保持方案批复机关、文号及时间</w:t>
            </w:r>
          </w:p>
        </w:tc>
        <w:tc>
          <w:tcPr>
            <w:tcW w:w="5739" w:type="dxa"/>
            <w:gridSpan w:val="3"/>
            <w:vAlign w:val="center"/>
          </w:tcPr>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四川省水利厅于2022年12月12日通过了该项目《水土保持行政许可承诺书》（川水许可[2022]5号）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水土保持方案变更批复机关、文号及时间</w:t>
            </w:r>
          </w:p>
        </w:tc>
        <w:tc>
          <w:tcPr>
            <w:tcW w:w="5739" w:type="dxa"/>
            <w:gridSpan w:val="3"/>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水土保持初步设计批复机关、文号及时间</w:t>
            </w:r>
          </w:p>
        </w:tc>
        <w:tc>
          <w:tcPr>
            <w:tcW w:w="5739" w:type="dxa"/>
            <w:gridSpan w:val="3"/>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项目建设起止时间</w:t>
            </w:r>
          </w:p>
        </w:tc>
        <w:tc>
          <w:tcPr>
            <w:tcW w:w="5739" w:type="dxa"/>
            <w:gridSpan w:val="3"/>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2020年12月15日—2021年9月30日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水土保持方案编制单位</w:t>
            </w:r>
          </w:p>
        </w:tc>
        <w:tc>
          <w:tcPr>
            <w:tcW w:w="5739" w:type="dxa"/>
            <w:gridSpan w:val="3"/>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四川省都江堰水利发展中心、广东省电信规划设计院有限公司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水土保持初步设计单位</w:t>
            </w:r>
          </w:p>
        </w:tc>
        <w:tc>
          <w:tcPr>
            <w:tcW w:w="5739" w:type="dxa"/>
            <w:gridSpan w:val="3"/>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水土保持监测单位</w:t>
            </w:r>
          </w:p>
        </w:tc>
        <w:tc>
          <w:tcPr>
            <w:tcW w:w="5739" w:type="dxa"/>
            <w:gridSpan w:val="3"/>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水土保持施工单位</w:t>
            </w:r>
          </w:p>
        </w:tc>
        <w:tc>
          <w:tcPr>
            <w:tcW w:w="5739" w:type="dxa"/>
            <w:gridSpan w:val="3"/>
            <w:vAlign w:val="center"/>
          </w:tcPr>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联通数字科技有限公司（原联通系统集成有限公司）</w:t>
            </w: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东深智水科技（深圳）股份有限公司（原深圳市东深</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电子股份有限公司限公司）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水土保持监理单位</w:t>
            </w:r>
          </w:p>
        </w:tc>
        <w:tc>
          <w:tcPr>
            <w:tcW w:w="5739" w:type="dxa"/>
            <w:gridSpan w:val="3"/>
            <w:vAlign w:val="center"/>
          </w:tcPr>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783"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水土保持设施验收报告编制单位</w:t>
            </w:r>
          </w:p>
        </w:tc>
        <w:tc>
          <w:tcPr>
            <w:tcW w:w="5739" w:type="dxa"/>
            <w:gridSpan w:val="3"/>
            <w:vAlign w:val="center"/>
          </w:tcPr>
          <w:p>
            <w:pPr>
              <w:keepNext w:val="0"/>
              <w:keepLines w:val="0"/>
              <w:widowControl/>
              <w:suppressLineNumbers w:val="0"/>
              <w:jc w:val="both"/>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广东省电信规划设计院有限公司</w:t>
            </w:r>
          </w:p>
        </w:tc>
      </w:tr>
    </w:tbl>
    <w:p>
      <w:pPr>
        <w:keepNext w:val="0"/>
        <w:keepLines w:val="0"/>
        <w:widowControl/>
        <w:suppressLineNumbers w:val="0"/>
        <w:jc w:val="left"/>
        <w:rPr>
          <w:rFonts w:hint="eastAsia" w:ascii="黑体" w:hAnsi="宋体" w:eastAsia="黑体" w:cs="黑体"/>
          <w:color w:val="000000"/>
          <w:kern w:val="0"/>
          <w:sz w:val="30"/>
          <w:szCs w:val="30"/>
          <w:lang w:val="en-US" w:eastAsia="zh-CN" w:bidi="ar"/>
        </w:rPr>
      </w:pPr>
    </w:p>
    <w:p>
      <w:pPr>
        <w:keepNext w:val="0"/>
        <w:keepLines w:val="0"/>
        <w:widowControl/>
        <w:numPr>
          <w:ilvl w:val="0"/>
          <w:numId w:val="0"/>
        </w:numPr>
        <w:suppressLineNumbers w:val="0"/>
        <w:ind w:left="210" w:leftChars="0" w:firstLine="0" w:firstLineChars="0"/>
        <w:jc w:val="left"/>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 xml:space="preserve">二、验收意见 </w:t>
      </w:r>
    </w:p>
    <w:tbl>
      <w:tblPr>
        <w:tblStyle w:val="5"/>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206" w:type="dxa"/>
            <w:vAlign w:val="top"/>
          </w:tcPr>
          <w:p>
            <w:pPr>
              <w:numPr>
                <w:ilvl w:val="0"/>
                <w:numId w:val="0"/>
              </w:numPr>
              <w:ind w:firstLine="600" w:firstLineChars="200"/>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根据《水利部关于加强事中事后监管规范生产建设项目水土保持设施自主验收的通知》（水保〔2017〕365号）和《水利部办公厅关于印发生产建设项目水土保持监督管理办法的通知》（办水保〔2019〕172号）的文件精神要求，四川省都江堰水利发展中心于2023年12月28日在都江堰开展都江堰灌区续建配套与节水改造量测水设施建设工程水土保持设施验收。参加人员有建设单位、水保方案报告表编制单位、监理单位、施工单位、运行管理单位的代表及水土保持专家，并成立了验收组（名单附后）。</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验收组查看了工程现场，查阅了相关资料，经讨论，形成都江堰灌区续建配套与节水改造量测水设施建设工程水土保持设施验收鉴定书。</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（一）项目概况</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都江堰灌区续建配套与节水改造量测水设施建设工程位于都江堰灌区（含都江堰东风渠、人一处、人二处、外江、龙泉山（现成都市东部新区水务监管事务中心与毗河灌区）、黑龙滩和井研灌区）。</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本工程建设内容包括：量测水感知系统建设、通信网络及安全系统建设，与灌区信息化平台对接三部分。具体如下：</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量测水感知系统建设：在都江堰东风渠、人一处、人二处、外江、龙泉山（现成都市东部新区水务监管中心与毗河灌区）、黑龙滩和井研灌区建设量测水设施站点1019处（其中共址建设5参数水质监测点25处，黑石河出口视频测流点位、岷江堰视频测流点位、黑石河崇州交新津旋转式雷达点位为科研试点点位），另配备7套便携式ADCP，共计1026套。设备采用以下类型：一体化量测水设施、双轨移动式雷达波测流、多点式雷达测流、雷达流量计、雷达水位计、电磁流量计（含非满管）、流量计测箱、超声波水位计、插入式超声波流量计、便携式ADCP、５参数水质仪、视频测流、旋转雷达测流。</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通信网络及安全系统建设：量测水设施前端点位设备数据终端机数据传输符合《水文监测数据通信规约》（SL651-2014）、《水资源监测数据传输规约》（SZY206-2016）、《四川省水文信息采集系统信息技术规约和协议（2018年修订版）》相关规定，量测水设施前端点位设备采用无线4G双通道传输为主、有线网络为辅的传输方式，将前端设备采集到的数据传输至灌区信息化平台。</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与灌区信息化平台对接：量测水设施设备与都江堰灌区信息化平台对接，由信息化平台实现量测水信息的入库及量测水设备设施管理。</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本工程初步设计批复概算总投资为12727.15万元。其中:工程部分投资为12708.35万元，建设征地移民补偿投资为9.35万元，环境保护工程投资为7.30万元，水土保持工程投资为2.12万元。</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该项目于2020年12月15日开工，于2021年9月30日完工。</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（二）水土保持方案批复情况（含变更）</w:t>
            </w:r>
          </w:p>
          <w:p>
            <w:pPr>
              <w:numPr>
                <w:ilvl w:val="0"/>
                <w:numId w:val="0"/>
              </w:numPr>
              <w:ind w:firstLine="600" w:firstLineChars="200"/>
              <w:jc w:val="left"/>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lang w:val="en-US" w:eastAsia="zh-CN"/>
              </w:rPr>
              <w:t>四川省水利厅于2022年12月12日以《水土保持行政许可承诺书》（川水许可〔2022〕5号）对该项目水土保持方案准予许可，本项目土石方开挖总量2.03万立方米，填方总量1.49万立方米，余方0.55万立方米。项目征占地面积0.634公顷。</w:t>
            </w:r>
          </w:p>
          <w:p>
            <w:pPr>
              <w:pStyle w:val="2"/>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（三）水土保持初步设计情况</w:t>
            </w:r>
          </w:p>
          <w:p>
            <w:pPr>
              <w:numPr>
                <w:ilvl w:val="0"/>
                <w:numId w:val="0"/>
              </w:numPr>
              <w:ind w:firstLine="600" w:firstLineChars="200"/>
              <w:jc w:val="left"/>
              <w:rPr>
                <w:rFonts w:hint="eastAsia" w:ascii="宋体" w:hAnsi="宋体" w:eastAsia="宋体" w:cs="宋体"/>
                <w:color w:val="FF0000"/>
                <w:sz w:val="30"/>
                <w:szCs w:val="30"/>
                <w:highlight w:val="none"/>
                <w:lang w:val="en-US" w:eastAsia="zh-CN"/>
              </w:rPr>
            </w:pPr>
            <w:r>
              <w:rPr>
                <w:rFonts w:hint="eastAsia" w:ascii="宋体" w:hAnsi="宋体" w:eastAsia="宋体" w:cs="宋体"/>
                <w:color w:val="auto"/>
                <w:sz w:val="30"/>
                <w:szCs w:val="30"/>
                <w:highlight w:val="none"/>
                <w:lang w:val="en-US" w:eastAsia="zh-CN"/>
              </w:rPr>
              <w:t>四川省水利厅于2021年2月9日以《关于都江堰灌区量测水设施项目初步设计方案的批复》（川水函[2021]260号），同意初设方案中有关水土保持设计的内容，水保投资概算为2.12万元</w:t>
            </w:r>
            <w:r>
              <w:rPr>
                <w:rFonts w:hint="eastAsia" w:ascii="宋体" w:hAnsi="宋体" w:eastAsia="宋体" w:cs="宋体"/>
                <w:sz w:val="30"/>
                <w:szCs w:val="30"/>
                <w:lang w:eastAsia="zh-CN"/>
              </w:rPr>
              <w:t>。</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kern w:val="2"/>
                <w:sz w:val="30"/>
                <w:szCs w:val="30"/>
                <w:lang w:val="en-US" w:eastAsia="zh-CN" w:bidi="ar-SA"/>
              </w:rPr>
              <w:t>（四）</w:t>
            </w:r>
            <w:r>
              <w:rPr>
                <w:rFonts w:hint="eastAsia" w:ascii="宋体" w:hAnsi="宋体" w:eastAsia="宋体" w:cs="宋体"/>
                <w:color w:val="auto"/>
                <w:sz w:val="30"/>
                <w:szCs w:val="30"/>
                <w:highlight w:val="none"/>
                <w:lang w:val="en-US" w:eastAsia="zh-CN"/>
              </w:rPr>
              <w:t>验收报告编制情况和主要结论</w:t>
            </w:r>
          </w:p>
          <w:p>
            <w:pPr>
              <w:numPr>
                <w:ilvl w:val="0"/>
                <w:numId w:val="0"/>
              </w:numPr>
              <w:ind w:firstLine="600" w:firstLineChars="200"/>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广东省电信规划设计院有限公司编制了《</w:t>
            </w:r>
            <w:r>
              <w:rPr>
                <w:rFonts w:hint="eastAsia" w:ascii="宋体" w:hAnsi="宋体" w:eastAsia="宋体" w:cs="宋体"/>
                <w:color w:val="auto"/>
                <w:sz w:val="30"/>
                <w:szCs w:val="30"/>
                <w:highlight w:val="none"/>
                <w:lang w:val="en-US" w:eastAsia="zh-CN"/>
              </w:rPr>
              <w:t>都江堰灌区续建配套与节水改造量测水设施建设工程水土保持设施验收报告</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验收报告主要结论为：本工程土石方总开挖量2.03万立方米，回填土石方总量1.5万立方米，综合利用0.4万立方米，弃方0.54万立方米。本工程各项水土保持措施已按批复的水土保持方案的要求，在建设期间基本得到落实。已实施的水土保持措施质量总体合格，运行正常，较好地发挥了水土流失防治作用，水土流失防治效果明显，达到水土保持方案报告表的要求，满足水土保持标准、规范、规程确定的验收标准和条件，同意通过水土保持设施验收。</w:t>
            </w:r>
          </w:p>
          <w:p>
            <w:pPr>
              <w:numPr>
                <w:ilvl w:val="0"/>
                <w:numId w:val="0"/>
              </w:numPr>
              <w:ind w:firstLine="600" w:firstLineChars="200"/>
              <w:jc w:val="left"/>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lang w:val="en-US" w:eastAsia="zh-CN"/>
              </w:rPr>
              <w:t>（五）验收结论</w:t>
            </w:r>
          </w:p>
          <w:p>
            <w:pPr>
              <w:adjustRightInd w:val="0"/>
              <w:snapToGrid w:val="0"/>
              <w:spacing w:line="5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综上所述，验收组认为：该项目实施过程中基本落实了水土保持方案及批复文件要求，完成了水土流失预防和治理任务，水土流失防治指标</w:t>
            </w:r>
            <w:bookmarkStart w:id="0" w:name="_GoBack"/>
            <w:bookmarkEnd w:id="0"/>
            <w:r>
              <w:rPr>
                <w:rFonts w:hint="eastAsia" w:ascii="宋体" w:hAnsi="宋体" w:eastAsia="宋体" w:cs="宋体"/>
                <w:color w:val="auto"/>
                <w:sz w:val="30"/>
                <w:szCs w:val="30"/>
                <w:highlight w:val="none"/>
                <w:lang w:val="en-US" w:eastAsia="zh-CN"/>
              </w:rPr>
              <w:t>达到水土保持方案确定的目标值，符合水土保持设施验收的条件，同意该项目水土保持设施通过验收。</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（六）后续管护要求</w:t>
            </w:r>
          </w:p>
          <w:p>
            <w:pPr>
              <w:adjustRightInd w:val="0"/>
              <w:snapToGrid w:val="0"/>
              <w:spacing w:line="580" w:lineRule="exact"/>
              <w:ind w:firstLine="60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0"/>
                <w:szCs w:val="30"/>
                <w:highlight w:val="none"/>
                <w:lang w:val="en-US" w:eastAsia="zh-CN"/>
              </w:rPr>
              <w:t>运行管理单位应将水土保持各项措施的运行管理维护纳入管理范畴，加强工程措施维修保养，确保各项水土保持措施长期、有效发挥水土保持功能。</w:t>
            </w: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p>
          <w:p>
            <w:pPr>
              <w:numPr>
                <w:ilvl w:val="0"/>
                <w:numId w:val="0"/>
              </w:numPr>
              <w:ind w:firstLine="600" w:firstLineChars="200"/>
              <w:jc w:val="left"/>
              <w:rPr>
                <w:rFonts w:hint="eastAsia" w:ascii="宋体" w:hAnsi="宋体" w:eastAsia="宋体" w:cs="宋体"/>
                <w:color w:val="auto"/>
                <w:sz w:val="30"/>
                <w:szCs w:val="30"/>
                <w:highlight w:val="none"/>
                <w:lang w:val="en-US" w:eastAsia="zh-CN"/>
              </w:rPr>
            </w:pPr>
          </w:p>
        </w:tc>
      </w:tr>
    </w:tbl>
    <w:p>
      <w:pPr>
        <w:numPr>
          <w:ilvl w:val="0"/>
          <w:numId w:val="0"/>
        </w:numPr>
        <w:ind w:left="0" w:leftChars="0" w:firstLine="602" w:firstLineChars="200"/>
        <w:jc w:val="left"/>
        <w:rPr>
          <w:rFonts w:hint="eastAsia" w:ascii="宋体" w:hAnsi="宋体" w:eastAsia="宋体" w:cs="宋体"/>
          <w:b/>
          <w:bCs/>
          <w:color w:val="auto"/>
          <w:kern w:val="2"/>
          <w:sz w:val="30"/>
          <w:szCs w:val="30"/>
          <w:lang w:val="en-US" w:eastAsia="zh-CN" w:bidi="ar-SA"/>
        </w:rPr>
      </w:pPr>
    </w:p>
    <w:tbl>
      <w:tblPr>
        <w:tblStyle w:val="4"/>
        <w:tblpPr w:leftFromText="180" w:rightFromText="180" w:vertAnchor="text" w:horzAnchor="page" w:tblpX="1970" w:tblpY="732"/>
        <w:tblOverlap w:val="never"/>
        <w:tblW w:w="8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1129"/>
        <w:gridCol w:w="2937"/>
        <w:gridCol w:w="867"/>
        <w:gridCol w:w="1540"/>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分工</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姓名</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单位</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1"/>
                <w:szCs w:val="21"/>
                <w:highlight w:val="none"/>
                <w:lang w:val="en-US" w:eastAsia="zh-CN" w:bidi="ar-SA"/>
              </w:rPr>
              <w:t>职务／职称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签字</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组长</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李德幸</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四川省都江堰水利发展中心</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教高</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991" w:type="dxa"/>
            <w:vMerge w:val="restar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 xml:space="preserve">成 </w:t>
            </w:r>
          </w:p>
          <w:p>
            <w:pPr>
              <w:jc w:val="center"/>
              <w:rPr>
                <w:rFonts w:hint="eastAsia" w:ascii="宋体" w:hAnsi="宋体" w:eastAsia="宋体" w:cs="宋体"/>
                <w:i w:val="0"/>
                <w:iCs w:val="0"/>
                <w:color w:val="000000"/>
                <w:kern w:val="2"/>
                <w:sz w:val="28"/>
                <w:szCs w:val="28"/>
                <w:u w:val="none"/>
                <w:lang w:val="en-US" w:eastAsia="zh-CN" w:bidi="ar-SA"/>
              </w:rPr>
            </w:pPr>
          </w:p>
          <w:p>
            <w:pPr>
              <w:jc w:val="center"/>
              <w:rPr>
                <w:rFonts w:hint="eastAsia" w:ascii="宋体" w:hAnsi="宋体" w:eastAsia="宋体" w:cs="宋体"/>
                <w:i w:val="0"/>
                <w:iCs w:val="0"/>
                <w:color w:val="000000"/>
                <w:kern w:val="2"/>
                <w:sz w:val="28"/>
                <w:szCs w:val="28"/>
                <w:u w:val="none"/>
                <w:lang w:val="en-US" w:eastAsia="zh-CN" w:bidi="ar-SA"/>
              </w:rPr>
            </w:pPr>
          </w:p>
          <w:p>
            <w:pPr>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 xml:space="preserve"> 员</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张晓波</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四川省水利科学研究院退休人员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高工</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水保专家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余杰</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四川省坝导科技有限公司</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高工</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王冬梅</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四川省都江堰水利发展中心</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高工</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水土保持方案编制单位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李菁</w:t>
            </w:r>
          </w:p>
        </w:tc>
        <w:tc>
          <w:tcPr>
            <w:tcW w:w="293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四川省都江堰水利发展中心</w:t>
            </w:r>
          </w:p>
        </w:tc>
        <w:tc>
          <w:tcPr>
            <w:tcW w:w="86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高工</w:t>
            </w:r>
          </w:p>
        </w:tc>
        <w:tc>
          <w:tcPr>
            <w:tcW w:w="154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杜双燕</w:t>
            </w:r>
          </w:p>
        </w:tc>
        <w:tc>
          <w:tcPr>
            <w:tcW w:w="293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广东省电信规划设计院有限公司</w:t>
            </w:r>
          </w:p>
        </w:tc>
        <w:tc>
          <w:tcPr>
            <w:tcW w:w="86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4"/>
                <w:szCs w:val="24"/>
                <w:u w:val="none"/>
                <w:lang w:eastAsia="zh-CN"/>
              </w:rPr>
              <w:t>工程师</w:t>
            </w:r>
          </w:p>
        </w:tc>
        <w:tc>
          <w:tcPr>
            <w:tcW w:w="154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蒋凯</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联通数字科技有限公司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项目经理</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施工单位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张华军</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东深智水科技（深圳）股份有限公司</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高工</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吴吉</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四川省都江堰水利发展中心</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8"/>
                <w:szCs w:val="28"/>
                <w:u w:val="none"/>
                <w:lang w:val="en-US" w:eastAsia="zh-CN" w:bidi="ar-SA"/>
              </w:rPr>
              <w:t>高工</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2"/>
                <w:sz w:val="24"/>
                <w:szCs w:val="24"/>
                <w:u w:val="none"/>
                <w:lang w:val="en-US" w:eastAsia="zh-CN" w:bidi="ar-SA"/>
              </w:rPr>
              <w:t>运行管理单位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991" w:type="dxa"/>
            <w:vMerge w:val="continue"/>
            <w:tcBorders>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kern w:val="2"/>
                <w:sz w:val="28"/>
                <w:szCs w:val="28"/>
                <w:u w:val="none"/>
                <w:lang w:val="en-US" w:eastAsia="zh-CN" w:bidi="ar-SA"/>
              </w:rPr>
            </w:pPr>
          </w:p>
        </w:tc>
      </w:tr>
    </w:tbl>
    <w:p>
      <w:pPr>
        <w:numPr>
          <w:ilvl w:val="0"/>
          <w:numId w:val="0"/>
        </w:numPr>
        <w:ind w:left="210" w:leftChars="0" w:firstLine="0" w:firstLineChars="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kern w:val="2"/>
          <w:sz w:val="30"/>
          <w:szCs w:val="30"/>
          <w:lang w:val="en-US" w:eastAsia="zh-CN" w:bidi="ar-SA"/>
        </w:rPr>
        <w:t>三、</w:t>
      </w:r>
      <w:r>
        <w:rPr>
          <w:rFonts w:hint="eastAsia" w:ascii="宋体" w:hAnsi="宋体" w:eastAsia="宋体" w:cs="宋体"/>
          <w:b/>
          <w:bCs/>
          <w:color w:val="auto"/>
          <w:sz w:val="30"/>
          <w:szCs w:val="30"/>
          <w:highlight w:val="none"/>
          <w:lang w:val="en-US" w:eastAsia="zh-CN"/>
        </w:rPr>
        <w:t>验收组成员签字表</w:t>
      </w:r>
    </w:p>
    <w:p>
      <w:pPr>
        <w:keepNext w:val="0"/>
        <w:keepLines w:val="0"/>
        <w:widowControl/>
        <w:suppressLineNumbers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zA1ZjI3NzZjNjRhODMyYTI3ZTU2ZWNiMjNmMDMifQ=="/>
  </w:docVars>
  <w:rsids>
    <w:rsidRoot w:val="0D35678A"/>
    <w:rsid w:val="00152A61"/>
    <w:rsid w:val="00AF5F44"/>
    <w:rsid w:val="02042E4F"/>
    <w:rsid w:val="0B90186D"/>
    <w:rsid w:val="0D35678A"/>
    <w:rsid w:val="11AF03A3"/>
    <w:rsid w:val="11F75330"/>
    <w:rsid w:val="16645E6C"/>
    <w:rsid w:val="17161E2D"/>
    <w:rsid w:val="193D2935"/>
    <w:rsid w:val="19691E2C"/>
    <w:rsid w:val="1A9B5F0B"/>
    <w:rsid w:val="1D743357"/>
    <w:rsid w:val="1DB4005D"/>
    <w:rsid w:val="21490AB3"/>
    <w:rsid w:val="2173186F"/>
    <w:rsid w:val="24FA6221"/>
    <w:rsid w:val="25006244"/>
    <w:rsid w:val="280642A2"/>
    <w:rsid w:val="28FD538C"/>
    <w:rsid w:val="351A7C72"/>
    <w:rsid w:val="35963A5A"/>
    <w:rsid w:val="3A721F27"/>
    <w:rsid w:val="3B2F54A6"/>
    <w:rsid w:val="3D7041FC"/>
    <w:rsid w:val="44352EB7"/>
    <w:rsid w:val="45600EBE"/>
    <w:rsid w:val="48A71384"/>
    <w:rsid w:val="49AC3BD7"/>
    <w:rsid w:val="49B21FA8"/>
    <w:rsid w:val="4E630E2B"/>
    <w:rsid w:val="4E692B99"/>
    <w:rsid w:val="513F06B7"/>
    <w:rsid w:val="5A34058B"/>
    <w:rsid w:val="5BB83334"/>
    <w:rsid w:val="5C320DB6"/>
    <w:rsid w:val="68D407CD"/>
    <w:rsid w:val="69BF6EB2"/>
    <w:rsid w:val="69E135C0"/>
    <w:rsid w:val="6B133BF4"/>
    <w:rsid w:val="6BAB264E"/>
    <w:rsid w:val="70A657E7"/>
    <w:rsid w:val="70D02D24"/>
    <w:rsid w:val="74AD1E25"/>
    <w:rsid w:val="76AF7FDA"/>
    <w:rsid w:val="799937BF"/>
    <w:rsid w:val="7A0632EA"/>
    <w:rsid w:val="7CEE28CE"/>
    <w:rsid w:val="7D14498B"/>
    <w:rsid w:val="7DAF30D3"/>
    <w:rsid w:val="7F287DE5"/>
    <w:rsid w:val="7F44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2260</Words>
  <Characters>2399</Characters>
  <Lines>0</Lines>
  <Paragraphs>0</Paragraphs>
  <TotalTime>33</TotalTime>
  <ScaleCrop>false</ScaleCrop>
  <LinksUpToDate>false</LinksUpToDate>
  <CharactersWithSpaces>2420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2023-08-09T01:33:00Z</dcterms:created>
  <dc:creator>王冬梅</dc:creator>
  <cp:lastModifiedBy>杨俊</cp:lastModifiedBy>
  <cp:lastPrinted>2023-11-28T08:10:00Z</cp:lastPrinted>
  <dcterms:modified xsi:type="dcterms:W3CDTF">2024-02-04T07:35:10Z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AB713239723C407C94BD7A5C5E56B0D6</vt:lpwstr>
  </property>
</Properties>
</file>